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4F54B">
      <w:pPr>
        <w:spacing w:line="360" w:lineRule="auto"/>
        <w:jc w:val="center"/>
        <w:rPr>
          <w:rFonts w:ascii="宋体" w:hAnsi="宋体" w:eastAsia="宋体" w:cs="宋体"/>
          <w:sz w:val="44"/>
          <w:szCs w:val="44"/>
          <w:highlight w:val="none"/>
        </w:rPr>
      </w:pPr>
    </w:p>
    <w:p w14:paraId="29BE7D59">
      <w:pPr>
        <w:spacing w:line="360" w:lineRule="auto"/>
        <w:jc w:val="center"/>
        <w:rPr>
          <w:rFonts w:ascii="宋体" w:hAnsi="宋体" w:eastAsia="宋体" w:cs="宋体"/>
          <w:sz w:val="44"/>
          <w:szCs w:val="44"/>
          <w:highlight w:val="none"/>
          <w:lang w:eastAsia="zh-CN"/>
        </w:rPr>
      </w:pPr>
      <w:r>
        <w:rPr>
          <w:rFonts w:hint="eastAsia" w:ascii="宋体" w:hAnsi="宋体" w:eastAsia="宋体" w:cs="宋体"/>
          <w:sz w:val="44"/>
          <w:szCs w:val="44"/>
          <w:highlight w:val="none"/>
          <w:lang w:eastAsia="zh-CN"/>
        </w:rPr>
        <w:t>辽宁中正信合检测认证有限公司</w:t>
      </w:r>
    </w:p>
    <w:p w14:paraId="0C2353F3">
      <w:pPr>
        <w:spacing w:line="360" w:lineRule="auto"/>
        <w:ind w:firstLine="426"/>
        <w:jc w:val="center"/>
        <w:rPr>
          <w:rFonts w:ascii="Times New Roman" w:hAnsi="Times New Roman" w:cs="Times New Roman"/>
          <w:sz w:val="36"/>
          <w:szCs w:val="36"/>
          <w:highlight w:val="none"/>
        </w:rPr>
      </w:pPr>
      <w:r>
        <w:rPr>
          <w:rFonts w:hint="eastAsia" w:ascii="Times New Roman" w:hAnsi="Times New Roman" w:cs="Times New Roman"/>
          <w:sz w:val="36"/>
          <w:szCs w:val="36"/>
          <w:highlight w:val="none"/>
        </w:rPr>
        <w:t>LiaoNing NICC For Test and Certification Co., Ltd.</w:t>
      </w:r>
    </w:p>
    <w:p w14:paraId="759F9674">
      <w:pPr>
        <w:spacing w:line="360" w:lineRule="auto"/>
        <w:jc w:val="center"/>
        <w:rPr>
          <w:rFonts w:ascii="宋体" w:hAnsi="宋体" w:eastAsia="宋体" w:cs="宋体"/>
          <w:sz w:val="11"/>
          <w:szCs w:val="11"/>
          <w:highlight w:val="none"/>
        </w:rPr>
      </w:pPr>
    </w:p>
    <w:p w14:paraId="314F405E">
      <w:pPr>
        <w:spacing w:line="360" w:lineRule="auto"/>
        <w:jc w:val="center"/>
        <w:rPr>
          <w:rFonts w:ascii="宋体" w:hAnsi="宋体" w:eastAsia="宋体" w:cs="宋体"/>
          <w:sz w:val="15"/>
          <w:szCs w:val="15"/>
          <w:highlight w:val="none"/>
        </w:rPr>
      </w:pPr>
    </w:p>
    <w:p w14:paraId="3A3D9AC4">
      <w:pPr>
        <w:spacing w:line="360" w:lineRule="auto"/>
        <w:jc w:val="center"/>
        <w:rPr>
          <w:rFonts w:ascii="宋体" w:hAnsi="宋体" w:eastAsia="宋体" w:cs="宋体"/>
          <w:sz w:val="18"/>
          <w:szCs w:val="18"/>
          <w:highlight w:val="none"/>
        </w:rPr>
      </w:pPr>
    </w:p>
    <w:p w14:paraId="09167601">
      <w:pPr>
        <w:spacing w:line="240" w:lineRule="auto"/>
        <w:jc w:val="center"/>
        <w:rPr>
          <w:rFonts w:hint="eastAsia" w:ascii="黑体" w:hAnsi="黑体" w:eastAsia="黑体" w:cs="黑体"/>
          <w:sz w:val="52"/>
          <w:szCs w:val="52"/>
          <w:highlight w:val="none"/>
          <w:lang w:eastAsia="zh-CN"/>
        </w:rPr>
      </w:pPr>
      <w:r>
        <w:rPr>
          <w:rFonts w:hint="eastAsia" w:ascii="黑体" w:hAnsi="黑体" w:eastAsia="黑体" w:cs="黑体"/>
          <w:sz w:val="52"/>
          <w:szCs w:val="52"/>
          <w:highlight w:val="none"/>
          <w:lang w:eastAsia="zh-CN"/>
        </w:rPr>
        <w:t>已认可的认证</w:t>
      </w:r>
    </w:p>
    <w:p w14:paraId="46EDB530">
      <w:pPr>
        <w:spacing w:line="240" w:lineRule="auto"/>
        <w:jc w:val="center"/>
        <w:rPr>
          <w:rFonts w:hint="eastAsia" w:ascii="黑体" w:hAnsi="黑体" w:eastAsia="黑体" w:cs="黑体"/>
          <w:sz w:val="52"/>
          <w:szCs w:val="52"/>
          <w:highlight w:val="none"/>
          <w:lang w:eastAsia="zh-CN"/>
        </w:rPr>
      </w:pPr>
      <w:r>
        <w:rPr>
          <w:rFonts w:hint="eastAsia" w:ascii="黑体" w:hAnsi="黑体" w:eastAsia="黑体" w:cs="黑体"/>
          <w:sz w:val="52"/>
          <w:szCs w:val="52"/>
          <w:highlight w:val="none"/>
          <w:lang w:eastAsia="zh-CN"/>
        </w:rPr>
        <w:t>证书转换管理办法</w:t>
      </w:r>
    </w:p>
    <w:p w14:paraId="0C18BC2E">
      <w:pPr>
        <w:spacing w:line="360" w:lineRule="auto"/>
        <w:jc w:val="center"/>
        <w:rPr>
          <w:rFonts w:ascii="宋体" w:hAnsi="宋体" w:eastAsia="宋体" w:cs="宋体"/>
          <w:highlight w:val="none"/>
          <w:lang w:eastAsia="zh-CN"/>
        </w:rPr>
      </w:pPr>
      <w:r>
        <w:rPr>
          <w:rFonts w:hint="eastAsia" w:ascii="宋体" w:hAnsi="宋体" w:eastAsia="宋体" w:cs="宋体"/>
          <w:highlight w:val="none"/>
          <w:lang w:eastAsia="zh-CN"/>
        </w:rPr>
        <w:drawing>
          <wp:anchor distT="0" distB="0" distL="114300" distR="114300" simplePos="0" relativeHeight="251659264" behindDoc="1" locked="0" layoutInCell="1" allowOverlap="1">
            <wp:simplePos x="0" y="0"/>
            <wp:positionH relativeFrom="column">
              <wp:posOffset>2131060</wp:posOffset>
            </wp:positionH>
            <wp:positionV relativeFrom="paragraph">
              <wp:posOffset>202565</wp:posOffset>
            </wp:positionV>
            <wp:extent cx="1969135" cy="1800225"/>
            <wp:effectExtent l="0" t="0" r="0" b="9525"/>
            <wp:wrapTight wrapText="bothSides">
              <wp:wrapPolygon>
                <wp:start x="8777" y="457"/>
                <wp:lineTo x="6478" y="1143"/>
                <wp:lineTo x="3761" y="3200"/>
                <wp:lineTo x="3970" y="4114"/>
                <wp:lineTo x="2926" y="4800"/>
                <wp:lineTo x="1463" y="7086"/>
                <wp:lineTo x="1045" y="11429"/>
                <wp:lineTo x="1881" y="15086"/>
                <wp:lineTo x="4388" y="19200"/>
                <wp:lineTo x="9194" y="21486"/>
                <wp:lineTo x="12120" y="21486"/>
                <wp:lineTo x="16926" y="19200"/>
                <wp:lineTo x="19434" y="15086"/>
                <wp:lineTo x="20270" y="11429"/>
                <wp:lineTo x="20061" y="7314"/>
                <wp:lineTo x="18389" y="4800"/>
                <wp:lineTo x="17762" y="3429"/>
                <wp:lineTo x="16299" y="2057"/>
                <wp:lineTo x="12956" y="457"/>
                <wp:lineTo x="8777" y="457"/>
              </wp:wrapPolygon>
            </wp:wrapTight>
            <wp:docPr id="1" name="图片 1" descr="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LOGO"/>
                    <pic:cNvPicPr>
                      <a:picLocks noChangeAspect="1"/>
                    </pic:cNvPicPr>
                  </pic:nvPicPr>
                  <pic:blipFill>
                    <a:blip r:embed="rId7"/>
                    <a:srcRect l="14946" t="12138" r="14975" b="23808"/>
                    <a:stretch>
                      <a:fillRect/>
                    </a:stretch>
                  </pic:blipFill>
                  <pic:spPr>
                    <a:xfrm>
                      <a:off x="0" y="0"/>
                      <a:ext cx="1969135" cy="1800225"/>
                    </a:xfrm>
                    <a:prstGeom prst="rect">
                      <a:avLst/>
                    </a:prstGeom>
                  </pic:spPr>
                </pic:pic>
              </a:graphicData>
            </a:graphic>
          </wp:anchor>
        </w:drawing>
      </w:r>
    </w:p>
    <w:p w14:paraId="622D7793">
      <w:pPr>
        <w:spacing w:line="360" w:lineRule="auto"/>
        <w:jc w:val="center"/>
        <w:rPr>
          <w:rFonts w:ascii="宋体" w:hAnsi="宋体" w:eastAsia="宋体" w:cs="宋体"/>
          <w:highlight w:val="none"/>
          <w:lang w:eastAsia="zh-CN"/>
        </w:rPr>
      </w:pPr>
    </w:p>
    <w:p w14:paraId="20A6AE28">
      <w:pPr>
        <w:spacing w:line="360" w:lineRule="auto"/>
        <w:jc w:val="center"/>
        <w:rPr>
          <w:rFonts w:ascii="宋体" w:hAnsi="宋体" w:eastAsia="宋体" w:cs="宋体"/>
          <w:b/>
          <w:sz w:val="30"/>
          <w:szCs w:val="30"/>
          <w:highlight w:val="none"/>
          <w:lang w:eastAsia="zh-CN"/>
        </w:rPr>
      </w:pPr>
      <w:r>
        <w:rPr>
          <w:rFonts w:hint="eastAsia" w:ascii="宋体" w:hAnsi="宋体" w:eastAsia="宋体" w:cs="宋体"/>
          <w:sz w:val="30"/>
          <w:szCs w:val="30"/>
          <w:highlight w:val="none"/>
          <w:lang w:eastAsia="zh-CN"/>
        </w:rPr>
        <w:t xml:space="preserve"> </w:t>
      </w:r>
    </w:p>
    <w:p w14:paraId="5B17C4B5">
      <w:pPr>
        <w:spacing w:line="360" w:lineRule="auto"/>
        <w:rPr>
          <w:rFonts w:hint="eastAsia" w:ascii="宋体" w:hAnsi="宋体" w:eastAsia="宋体" w:cs="宋体"/>
          <w:highlight w:val="none"/>
          <w:lang w:eastAsia="zh-CN"/>
        </w:rPr>
      </w:pPr>
    </w:p>
    <w:p w14:paraId="0F120AA3">
      <w:pPr>
        <w:spacing w:line="360" w:lineRule="auto"/>
        <w:rPr>
          <w:rFonts w:hint="eastAsia" w:ascii="宋体" w:hAnsi="宋体" w:eastAsia="宋体" w:cs="宋体"/>
          <w:highlight w:val="none"/>
          <w:lang w:eastAsia="zh-CN"/>
        </w:rPr>
      </w:pPr>
    </w:p>
    <w:p w14:paraId="11C95C50">
      <w:pPr>
        <w:spacing w:line="360" w:lineRule="auto"/>
        <w:rPr>
          <w:rFonts w:hint="eastAsia" w:ascii="宋体" w:hAnsi="宋体" w:eastAsia="宋体" w:cs="宋体"/>
          <w:highlight w:val="none"/>
          <w:lang w:eastAsia="zh-CN"/>
        </w:rPr>
      </w:pPr>
    </w:p>
    <w:p w14:paraId="3896EC38">
      <w:pPr>
        <w:spacing w:line="360" w:lineRule="auto"/>
        <w:rPr>
          <w:rFonts w:hint="eastAsia" w:ascii="宋体" w:hAnsi="宋体" w:eastAsia="宋体" w:cs="宋体"/>
          <w:highlight w:val="none"/>
          <w:lang w:eastAsia="zh-CN"/>
        </w:rPr>
      </w:pPr>
    </w:p>
    <w:p w14:paraId="792E80DA">
      <w:pPr>
        <w:spacing w:line="360" w:lineRule="auto"/>
        <w:rPr>
          <w:rFonts w:ascii="宋体" w:hAnsi="宋体" w:eastAsia="宋体" w:cs="宋体"/>
          <w:highlight w:val="none"/>
          <w:lang w:eastAsia="zh-CN"/>
        </w:rPr>
      </w:pPr>
      <w:r>
        <w:rPr>
          <w:rFonts w:hint="eastAsia" w:ascii="宋体" w:hAnsi="宋体" w:eastAsia="宋体" w:cs="宋体"/>
          <w:highlight w:val="none"/>
          <w:lang w:eastAsia="zh-CN"/>
        </w:rPr>
        <w:t xml:space="preserve">    </w:t>
      </w:r>
    </w:p>
    <w:p w14:paraId="59F5E975">
      <w:pPr>
        <w:spacing w:line="360" w:lineRule="auto"/>
        <w:ind w:firstLine="3463" w:firstLineChars="1150"/>
        <w:jc w:val="both"/>
        <w:rPr>
          <w:rFonts w:ascii="宋体" w:hAnsi="宋体" w:eastAsia="宋体" w:cs="宋体"/>
          <w:highlight w:val="none"/>
          <w:lang w:eastAsia="zh-CN"/>
        </w:rPr>
      </w:pPr>
      <w:r>
        <w:rPr>
          <w:rFonts w:hint="eastAsia" w:ascii="宋体" w:hAnsi="宋体" w:eastAsia="宋体" w:cs="宋体"/>
          <w:b/>
          <w:sz w:val="30"/>
          <w:szCs w:val="30"/>
          <w:highlight w:val="none"/>
          <w:lang w:eastAsia="zh-CN"/>
        </w:rPr>
        <w:t>文件编号：NICC-R</w:t>
      </w:r>
      <w:r>
        <w:rPr>
          <w:rFonts w:hint="eastAsia" w:ascii="宋体" w:hAnsi="宋体" w:cs="宋体"/>
          <w:b/>
          <w:sz w:val="30"/>
          <w:szCs w:val="30"/>
          <w:highlight w:val="none"/>
          <w:lang w:val="en-US" w:eastAsia="zh-CN"/>
        </w:rPr>
        <w:t>-</w:t>
      </w:r>
      <w:r>
        <w:rPr>
          <w:rFonts w:hint="eastAsia" w:ascii="宋体" w:hAnsi="宋体" w:cs="宋体"/>
          <w:b/>
          <w:sz w:val="30"/>
          <w:szCs w:val="30"/>
          <w:highlight w:val="none"/>
          <w:lang w:eastAsia="zh-CN"/>
        </w:rPr>
        <w:t>02</w:t>
      </w:r>
    </w:p>
    <w:p w14:paraId="24E8FF51">
      <w:pPr>
        <w:spacing w:line="360" w:lineRule="auto"/>
        <w:ind w:firstLine="3450" w:firstLineChars="1150"/>
        <w:rPr>
          <w:rFonts w:hint="default" w:ascii="宋体" w:hAnsi="宋体" w:eastAsia="宋体" w:cs="宋体"/>
          <w:b/>
          <w:sz w:val="30"/>
          <w:szCs w:val="30"/>
          <w:highlight w:val="none"/>
          <w:lang w:val="en-US" w:eastAsia="zh-CN"/>
        </w:rPr>
      </w:pPr>
      <w:r>
        <w:rPr>
          <w:rFonts w:ascii="Calibri" w:hAnsi="Calibri" w:eastAsia="宋体" w:cs="黑体"/>
          <w:kern w:val="2"/>
          <w:sz w:val="30"/>
        </w:rPr>
        <w:pict>
          <v:shape id="_x0000_s1026" o:spid="_x0000_s1026" o:spt="202" type="#_x0000_t202" style="position:absolute;left:0pt;margin-left:210.05pt;margin-top:20pt;height:100.25pt;width:68.2pt;z-index:251660288;mso-width-relative:page;mso-height-relative:page;" fillcolor="#FFFFFF" filled="t" stroked="f" coordsize="21600,21600" o:gfxdata="UEsDBAoAAAAAAIdO4kAAAAAAAAAAAAAAAAAEAAAAZHJzL1BLAwQUAAAACACHTuJAlziCFdgAAAAK&#10;AQAADwAAAGRycy9kb3ducmV2LnhtbE2Py07DMBBF90j8gzVIbBB1Xm3SEKcSSCC2Lf2ASTxNIuJx&#10;FLtN+/eYFSxHc3TvudXuakZxodkNlhXEqwgEcWv1wJ2C49f7cwHCeWSNo2VScCMHu/r+rsJS24X3&#10;dDn4ToQQdiUq6L2fSild25NBt7ITcfid7GzQh3PupJ5xCeFmlEkUbaTBgUNDjxO99dR+H85Gwelz&#10;eVpvl+bDH/N9tnnFIW/sTanHhzh6AeHp6v9g+NUP6lAHp8aeWTsxKsjiNAuogrRIQARgnW3DlkZB&#10;khY5yLqS/yfUP1BLAwQUAAAACACHTuJAaNsqFNUBAACMAwAADgAAAGRycy9lMm9Eb2MueG1srVNL&#10;btswEN0X6B0I7mtZij+JYDlAa7iboi2Q9gA0RUkESA5B0pZ8gfYGXXXTfc/lc2RIKUmbbrKoFhSH&#10;8/Rm3htqcztoRU7CeQmmovlsTokwHGpp2op+/bJ/c02JD8zUTIERFT0LT2+3r19teluKAjpQtXAE&#10;SYwve1vRLgRbZpnnndDMz8AKg8kGnGYBQ9dmtWM9smuVFfP5KuvB1dYBF97j6W5M0onRvYQQmkZy&#10;sQN+1MKEkdUJxQJK8p20nm5Tt00jePjUNF4EoiqKSkNasQjuD3HNthtWto7ZTvKpBfaSFp5p0kwa&#10;LPpItWOBkaOT/1BpyR14aMKMg85GIckRVJHPn3lz1zErkha02ttH0/3/o+UfT58dkXVFC0oM0zjw&#10;y4/vl5+/L7++kSLa01tfIurOIi4Mb2HAS/Nw7vEwqh4ap+Mb9RDMXy3yYnGDFp8rulqui2I5GS2G&#10;QDgCrlerfIF5joC8WF/l62WkzJ6YrPPhvQBN4qaiDgeZ/GWnDz6M0AdILOxByXovlUqBaw/vlCMn&#10;hkPfp2di/wumDOkrerMslonZQPx+pFYGm4nCR4FxF4bDMLlxgPqMZhytk22HzSU7EhyHlFRMFyre&#10;gj/jRPr0E23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c4ghXYAAAACgEAAA8AAAAAAAAAAQAg&#10;AAAAIgAAAGRycy9kb3ducmV2LnhtbFBLAQIUABQAAAAIAIdO4kBo2yoU1QEAAIwDAAAOAAAAAAAA&#10;AAEAIAAAACcBAABkcnMvZTJvRG9jLnhtbFBLBQYAAAAABgAGAFkBAABuBQAAAAA=&#10;">
            <v:path/>
            <v:fill on="t" focussize="0,0"/>
            <v:stroke on="f"/>
            <v:imagedata o:title=""/>
            <o:lock v:ext="edit" aspectratio="f"/>
            <v:textbox>
              <w:txbxContent>
                <w:p w14:paraId="09E40A46">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ascii="Calibri" w:hAnsi="Calibri" w:eastAsia="宋体" w:cs="黑体"/>
                      <w:kern w:val="2"/>
                      <w:sz w:val="21"/>
                    </w:rPr>
                  </w:pPr>
                  <w:r>
                    <w:rPr>
                      <w:rFonts w:ascii="Calibri" w:hAnsi="Calibri" w:eastAsia="宋体" w:cs="黑体"/>
                      <w:kern w:val="2"/>
                      <w:sz w:val="21"/>
                    </w:rPr>
                    <w:drawing>
                      <wp:inline distT="0" distB="0" distL="114300" distR="114300">
                        <wp:extent cx="716280" cy="346075"/>
                        <wp:effectExtent l="0" t="0" r="7620" b="1587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8"/>
                                <a:srcRect b="6997"/>
                                <a:stretch>
                                  <a:fillRect/>
                                </a:stretch>
                              </pic:blipFill>
                              <pic:spPr>
                                <a:xfrm>
                                  <a:off x="0" y="0"/>
                                  <a:ext cx="716280" cy="346075"/>
                                </a:xfrm>
                                <a:prstGeom prst="rect">
                                  <a:avLst/>
                                </a:prstGeom>
                                <a:noFill/>
                                <a:ln>
                                  <a:noFill/>
                                </a:ln>
                              </pic:spPr>
                            </pic:pic>
                          </a:graphicData>
                        </a:graphic>
                      </wp:inline>
                    </w:drawing>
                  </w:r>
                  <w:r>
                    <w:rPr>
                      <w:rFonts w:ascii="Calibri" w:hAnsi="Calibri" w:eastAsia="宋体" w:cs="黑体"/>
                      <w:kern w:val="2"/>
                      <w:sz w:val="21"/>
                    </w:rPr>
                    <w:drawing>
                      <wp:inline distT="0" distB="0" distL="114300" distR="114300">
                        <wp:extent cx="654685" cy="394335"/>
                        <wp:effectExtent l="0" t="0" r="12065" b="571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9"/>
                                <a:srcRect t="6193"/>
                                <a:stretch>
                                  <a:fillRect/>
                                </a:stretch>
                              </pic:blipFill>
                              <pic:spPr>
                                <a:xfrm>
                                  <a:off x="0" y="0"/>
                                  <a:ext cx="654685" cy="394335"/>
                                </a:xfrm>
                                <a:prstGeom prst="rect">
                                  <a:avLst/>
                                </a:prstGeom>
                                <a:noFill/>
                                <a:ln>
                                  <a:noFill/>
                                </a:ln>
                              </pic:spPr>
                            </pic:pic>
                          </a:graphicData>
                        </a:graphic>
                      </wp:inline>
                    </w:drawing>
                  </w:r>
                </w:p>
                <w:p w14:paraId="71367AE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Calibri" w:hAnsi="Calibri" w:eastAsia="宋体" w:cs="黑体"/>
                      <w:kern w:val="2"/>
                      <w:sz w:val="21"/>
                      <w:lang w:eastAsia="zh-CN"/>
                    </w:rPr>
                  </w:pPr>
                  <w:r>
                    <w:rPr>
                      <w:rFonts w:hint="eastAsia" w:ascii="Calibri" w:hAnsi="Calibri" w:eastAsia="宋体" w:cs="黑体"/>
                      <w:kern w:val="2"/>
                      <w:sz w:val="21"/>
                      <w:lang w:eastAsia="zh-CN"/>
                    </w:rPr>
                    <w:drawing>
                      <wp:inline distT="0" distB="0" distL="114300" distR="114300">
                        <wp:extent cx="830580" cy="389890"/>
                        <wp:effectExtent l="0" t="0" r="7620" b="10160"/>
                        <wp:docPr id="3" name="图片 3" descr="162039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0398236"/>
                                <pic:cNvPicPr>
                                  <a:picLocks noChangeAspect="1"/>
                                </pic:cNvPicPr>
                              </pic:nvPicPr>
                              <pic:blipFill>
                                <a:blip r:embed="rId10"/>
                                <a:stretch>
                                  <a:fillRect/>
                                </a:stretch>
                              </pic:blipFill>
                              <pic:spPr>
                                <a:xfrm>
                                  <a:off x="0" y="0"/>
                                  <a:ext cx="830580" cy="389890"/>
                                </a:xfrm>
                                <a:prstGeom prst="rect">
                                  <a:avLst/>
                                </a:prstGeom>
                              </pic:spPr>
                            </pic:pic>
                          </a:graphicData>
                        </a:graphic>
                      </wp:inline>
                    </w:drawing>
                  </w:r>
                </w:p>
              </w:txbxContent>
            </v:textbox>
          </v:shape>
        </w:pict>
      </w:r>
      <w:r>
        <w:rPr>
          <w:rFonts w:hint="eastAsia" w:ascii="宋体" w:hAnsi="宋体" w:eastAsia="宋体" w:cs="宋体"/>
          <w:b/>
          <w:sz w:val="30"/>
          <w:szCs w:val="30"/>
          <w:highlight w:val="none"/>
          <w:lang w:eastAsia="zh-CN"/>
        </w:rPr>
        <w:t>版本状态：A/</w:t>
      </w:r>
      <w:r>
        <w:rPr>
          <w:rFonts w:hint="eastAsia" w:ascii="宋体" w:hAnsi="宋体" w:eastAsia="宋体" w:cs="宋体"/>
          <w:b/>
          <w:sz w:val="30"/>
          <w:szCs w:val="30"/>
          <w:highlight w:val="none"/>
          <w:lang w:val="en-US" w:eastAsia="zh-CN"/>
        </w:rPr>
        <w:t>1</w:t>
      </w:r>
    </w:p>
    <w:p w14:paraId="2C6F2D0D">
      <w:pPr>
        <w:tabs>
          <w:tab w:val="left" w:pos="6756"/>
        </w:tabs>
        <w:spacing w:line="360" w:lineRule="auto"/>
        <w:ind w:firstLine="3463" w:firstLineChars="1150"/>
        <w:rPr>
          <w:rFonts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编制：</w:t>
      </w:r>
    </w:p>
    <w:p w14:paraId="25C1E998">
      <w:pPr>
        <w:spacing w:line="360" w:lineRule="auto"/>
        <w:ind w:firstLine="3463" w:firstLineChars="1150"/>
        <w:rPr>
          <w:rFonts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审核：</w:t>
      </w:r>
    </w:p>
    <w:p w14:paraId="5287D318">
      <w:pPr>
        <w:spacing w:line="360" w:lineRule="auto"/>
        <w:ind w:firstLine="3463" w:firstLineChars="1150"/>
        <w:rPr>
          <w:rFonts w:ascii="宋体" w:hAnsi="宋体" w:eastAsia="宋体" w:cs="宋体"/>
          <w:b/>
          <w:sz w:val="30"/>
          <w:szCs w:val="30"/>
          <w:highlight w:val="none"/>
          <w:lang w:eastAsia="zh-CN"/>
        </w:rPr>
      </w:pPr>
      <w:r>
        <w:rPr>
          <w:rFonts w:hint="eastAsia" w:ascii="宋体" w:hAnsi="宋体" w:eastAsia="宋体" w:cs="宋体"/>
          <w:b/>
          <w:sz w:val="30"/>
          <w:szCs w:val="30"/>
          <w:highlight w:val="none"/>
          <w:lang w:eastAsia="zh-CN"/>
        </w:rPr>
        <w:t xml:space="preserve">批准：  </w:t>
      </w:r>
    </w:p>
    <w:p w14:paraId="659B0E07">
      <w:pPr>
        <w:spacing w:line="360" w:lineRule="auto"/>
        <w:ind w:firstLine="3463" w:firstLineChars="1150"/>
        <w:rPr>
          <w:rFonts w:ascii="宋体" w:hAnsi="宋体" w:eastAsia="宋体" w:cs="宋体"/>
          <w:sz w:val="30"/>
          <w:szCs w:val="30"/>
          <w:highlight w:val="none"/>
          <w:lang w:eastAsia="zh-CN"/>
        </w:rPr>
      </w:pPr>
      <w:r>
        <w:rPr>
          <w:rFonts w:hint="eastAsia" w:ascii="宋体" w:hAnsi="宋体" w:eastAsia="宋体" w:cs="宋体"/>
          <w:b/>
          <w:sz w:val="30"/>
          <w:szCs w:val="30"/>
          <w:highlight w:val="none"/>
          <w:lang w:eastAsia="zh-CN"/>
        </w:rPr>
        <w:t>实施日期：2020.</w:t>
      </w:r>
      <w:r>
        <w:rPr>
          <w:rFonts w:hint="eastAsia" w:ascii="宋体" w:hAnsi="宋体" w:eastAsia="宋体" w:cs="宋体"/>
          <w:b/>
          <w:sz w:val="30"/>
          <w:szCs w:val="30"/>
          <w:highlight w:val="none"/>
          <w:lang w:val="en-US" w:eastAsia="zh-CN"/>
        </w:rPr>
        <w:t>10.10</w:t>
      </w:r>
      <w:r>
        <w:rPr>
          <w:rFonts w:hint="eastAsia" w:ascii="宋体" w:hAnsi="宋体" w:eastAsia="宋体" w:cs="宋体"/>
          <w:sz w:val="30"/>
          <w:szCs w:val="30"/>
          <w:highlight w:val="none"/>
          <w:lang w:eastAsia="zh-CN"/>
        </w:rPr>
        <w:t xml:space="preserve"> </w:t>
      </w:r>
    </w:p>
    <w:p w14:paraId="44919833">
      <w:pPr>
        <w:rPr>
          <w:rFonts w:asciiTheme="minorEastAsia" w:hAnsiTheme="minorEastAsia" w:eastAsiaTheme="minorEastAsia" w:cstheme="minorEastAsia"/>
          <w:b/>
          <w:bCs/>
          <w:highlight w:val="none"/>
          <w:lang w:eastAsia="zh-CN"/>
        </w:rPr>
      </w:pPr>
    </w:p>
    <w:p w14:paraId="321AA536">
      <w:pPr>
        <w:rPr>
          <w:rFonts w:asciiTheme="minorEastAsia" w:hAnsiTheme="minorEastAsia" w:eastAsiaTheme="minorEastAsia" w:cstheme="minorEastAsia"/>
          <w:b/>
          <w:bCs/>
          <w:highlight w:val="none"/>
          <w:lang w:eastAsia="zh-CN"/>
        </w:rPr>
      </w:pPr>
    </w:p>
    <w:p w14:paraId="2432C0AC">
      <w:pPr>
        <w:rPr>
          <w:rFonts w:asciiTheme="minorEastAsia" w:hAnsiTheme="minorEastAsia" w:eastAsiaTheme="minorEastAsia" w:cstheme="minorEastAsia"/>
          <w:b/>
          <w:bCs/>
          <w:highlight w:val="none"/>
          <w:lang w:eastAsia="zh-CN"/>
        </w:rPr>
      </w:pPr>
    </w:p>
    <w:p w14:paraId="5A5AD1D2">
      <w:pPr>
        <w:rPr>
          <w:rFonts w:asciiTheme="minorEastAsia" w:hAnsiTheme="minorEastAsia" w:eastAsiaTheme="minorEastAsia" w:cstheme="minorEastAsia"/>
          <w:b/>
          <w:bCs/>
          <w:highlight w:val="none"/>
          <w:lang w:eastAsia="zh-CN"/>
        </w:rPr>
      </w:pPr>
    </w:p>
    <w:p w14:paraId="2AAF035A">
      <w:pPr>
        <w:rPr>
          <w:rFonts w:asciiTheme="minorEastAsia" w:hAnsiTheme="minorEastAsia" w:eastAsiaTheme="minorEastAsia" w:cstheme="minorEastAsia"/>
          <w:b/>
          <w:bCs/>
          <w:highlight w:val="none"/>
          <w:lang w:eastAsia="zh-CN"/>
        </w:rPr>
      </w:pPr>
    </w:p>
    <w:p w14:paraId="4BEA6B42">
      <w:pPr>
        <w:rPr>
          <w:rFonts w:asciiTheme="minorEastAsia" w:hAnsiTheme="minorEastAsia" w:eastAsiaTheme="minorEastAsia" w:cstheme="minorEastAsia"/>
          <w:b/>
          <w:bCs/>
          <w:highlight w:val="none"/>
          <w:lang w:eastAsia="zh-CN"/>
        </w:rPr>
        <w:sectPr>
          <w:footerReference r:id="rId3" w:type="default"/>
          <w:pgSz w:w="11900" w:h="16840"/>
          <w:pgMar w:top="1440" w:right="1080" w:bottom="1440" w:left="1080" w:header="709" w:footer="992" w:gutter="0"/>
          <w:pgNumType w:start="1"/>
          <w:cols w:space="720" w:num="1"/>
          <w:docGrid w:linePitch="360" w:charSpace="0"/>
        </w:sectPr>
      </w:pPr>
      <w:r>
        <w:rPr>
          <w:rFonts w:hint="eastAsia" w:asciiTheme="minorEastAsia" w:hAnsiTheme="minorEastAsia" w:eastAsiaTheme="minorEastAsia" w:cstheme="minorEastAsia"/>
          <w:b/>
          <w:bCs/>
          <w:highlight w:val="none"/>
          <w:lang w:eastAsia="zh-CN"/>
        </w:rPr>
        <w:br w:type="page"/>
      </w:r>
    </w:p>
    <w:p w14:paraId="04A69004">
      <w:pPr>
        <w:autoSpaceDE w:val="0"/>
        <w:autoSpaceDN w:val="0"/>
        <w:adjustRightInd w:val="0"/>
        <w:jc w:val="center"/>
        <w:rPr>
          <w:rFonts w:ascii="宋体" w:hAnsi="宋体" w:cs="宋体"/>
          <w:sz w:val="30"/>
          <w:szCs w:val="30"/>
          <w:highlight w:val="none"/>
          <w:lang w:eastAsia="zh-CN"/>
        </w:rPr>
      </w:pPr>
    </w:p>
    <w:p w14:paraId="258AE04F">
      <w:pPr>
        <w:autoSpaceDE w:val="0"/>
        <w:autoSpaceDN w:val="0"/>
        <w:adjustRightInd w:val="0"/>
        <w:jc w:val="center"/>
        <w:rPr>
          <w:rFonts w:ascii="宋体" w:hAnsi="宋体" w:cs="宋体"/>
          <w:sz w:val="30"/>
          <w:szCs w:val="30"/>
          <w:highlight w:val="none"/>
          <w:lang w:eastAsia="zh-CN"/>
        </w:rPr>
      </w:pPr>
    </w:p>
    <w:p w14:paraId="33F050B5">
      <w:pPr>
        <w:autoSpaceDE w:val="0"/>
        <w:autoSpaceDN w:val="0"/>
        <w:adjustRightInd w:val="0"/>
        <w:jc w:val="center"/>
        <w:rPr>
          <w:rFonts w:ascii="宋体" w:hAnsi="宋体" w:cs="宋体"/>
          <w:sz w:val="30"/>
          <w:szCs w:val="30"/>
          <w:highlight w:val="none"/>
          <w:lang w:eastAsia="zh-CN"/>
        </w:rPr>
      </w:pPr>
    </w:p>
    <w:p w14:paraId="513730CA">
      <w:pPr>
        <w:autoSpaceDE w:val="0"/>
        <w:autoSpaceDN w:val="0"/>
        <w:adjustRightInd w:val="0"/>
        <w:jc w:val="center"/>
        <w:rPr>
          <w:rFonts w:ascii="宋体" w:hAnsi="宋体" w:cs="宋体"/>
          <w:sz w:val="30"/>
          <w:szCs w:val="30"/>
          <w:highlight w:val="none"/>
        </w:rPr>
      </w:pPr>
      <w:r>
        <w:rPr>
          <w:rFonts w:hint="eastAsia" w:ascii="宋体" w:hAnsi="宋体" w:cs="宋体"/>
          <w:sz w:val="30"/>
          <w:szCs w:val="30"/>
          <w:highlight w:val="none"/>
        </w:rPr>
        <w:t>文件修订记录</w:t>
      </w:r>
    </w:p>
    <w:p w14:paraId="75801253">
      <w:pPr>
        <w:autoSpaceDE w:val="0"/>
        <w:autoSpaceDN w:val="0"/>
        <w:adjustRightInd w:val="0"/>
        <w:jc w:val="center"/>
        <w:rPr>
          <w:rFonts w:ascii="宋体" w:hAnsi="宋体" w:cs="宋体"/>
          <w:sz w:val="30"/>
          <w:szCs w:val="30"/>
          <w:highlight w:val="none"/>
        </w:rPr>
      </w:pPr>
    </w:p>
    <w:tbl>
      <w:tblPr>
        <w:tblStyle w:val="8"/>
        <w:tblW w:w="966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80"/>
        <w:gridCol w:w="5274"/>
        <w:gridCol w:w="1060"/>
        <w:gridCol w:w="1061"/>
      </w:tblGrid>
      <w:tr w14:paraId="606B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85" w:type="dxa"/>
            <w:vAlign w:val="center"/>
          </w:tcPr>
          <w:p w14:paraId="3622559B">
            <w:pPr>
              <w:autoSpaceDE w:val="0"/>
              <w:autoSpaceDN w:val="0"/>
              <w:adjustRightInd w:val="0"/>
              <w:jc w:val="center"/>
              <w:rPr>
                <w:rFonts w:ascii="宋体" w:hAnsi="宋体" w:cs="宋体"/>
                <w:szCs w:val="21"/>
                <w:highlight w:val="none"/>
              </w:rPr>
            </w:pPr>
            <w:r>
              <w:rPr>
                <w:rFonts w:hint="eastAsia" w:ascii="宋体" w:hAnsi="宋体" w:cs="宋体"/>
                <w:szCs w:val="21"/>
                <w:highlight w:val="none"/>
              </w:rPr>
              <w:t>序号</w:t>
            </w:r>
          </w:p>
        </w:tc>
        <w:tc>
          <w:tcPr>
            <w:tcW w:w="1380" w:type="dxa"/>
            <w:vAlign w:val="center"/>
          </w:tcPr>
          <w:p w14:paraId="60C37E02">
            <w:pPr>
              <w:autoSpaceDE w:val="0"/>
              <w:autoSpaceDN w:val="0"/>
              <w:adjustRightInd w:val="0"/>
              <w:jc w:val="center"/>
              <w:rPr>
                <w:rFonts w:ascii="宋体" w:hAnsi="宋体" w:cs="宋体"/>
                <w:szCs w:val="21"/>
                <w:highlight w:val="none"/>
              </w:rPr>
            </w:pPr>
            <w:r>
              <w:rPr>
                <w:rFonts w:hint="eastAsia" w:ascii="宋体" w:hAnsi="宋体" w:cs="宋体"/>
                <w:szCs w:val="21"/>
                <w:highlight w:val="none"/>
              </w:rPr>
              <w:t>版本</w:t>
            </w:r>
          </w:p>
        </w:tc>
        <w:tc>
          <w:tcPr>
            <w:tcW w:w="5274" w:type="dxa"/>
            <w:vAlign w:val="center"/>
          </w:tcPr>
          <w:p w14:paraId="0BB64F7E">
            <w:pPr>
              <w:autoSpaceDE w:val="0"/>
              <w:autoSpaceDN w:val="0"/>
              <w:adjustRightInd w:val="0"/>
              <w:jc w:val="center"/>
              <w:rPr>
                <w:rFonts w:ascii="宋体" w:hAnsi="宋体" w:cs="宋体"/>
                <w:szCs w:val="21"/>
                <w:highlight w:val="none"/>
              </w:rPr>
            </w:pPr>
            <w:r>
              <w:rPr>
                <w:rFonts w:hint="eastAsia" w:ascii="宋体" w:hAnsi="宋体" w:cs="宋体"/>
                <w:szCs w:val="21"/>
                <w:highlight w:val="none"/>
              </w:rPr>
              <w:t>修订内容</w:t>
            </w:r>
          </w:p>
        </w:tc>
        <w:tc>
          <w:tcPr>
            <w:tcW w:w="1060" w:type="dxa"/>
            <w:vAlign w:val="center"/>
          </w:tcPr>
          <w:p w14:paraId="456E3D2A">
            <w:pPr>
              <w:autoSpaceDE w:val="0"/>
              <w:autoSpaceDN w:val="0"/>
              <w:adjustRightInd w:val="0"/>
              <w:jc w:val="center"/>
              <w:rPr>
                <w:rFonts w:ascii="宋体" w:hAnsi="宋体" w:cs="宋体"/>
                <w:szCs w:val="21"/>
                <w:highlight w:val="none"/>
              </w:rPr>
            </w:pPr>
            <w:r>
              <w:rPr>
                <w:rFonts w:hint="eastAsia" w:ascii="宋体" w:hAnsi="宋体" w:cs="宋体"/>
                <w:szCs w:val="21"/>
                <w:highlight w:val="none"/>
              </w:rPr>
              <w:t>修订人</w:t>
            </w:r>
          </w:p>
        </w:tc>
        <w:tc>
          <w:tcPr>
            <w:tcW w:w="1061" w:type="dxa"/>
            <w:vAlign w:val="center"/>
          </w:tcPr>
          <w:p w14:paraId="1FD6CA9D">
            <w:pPr>
              <w:autoSpaceDE w:val="0"/>
              <w:autoSpaceDN w:val="0"/>
              <w:adjustRightInd w:val="0"/>
              <w:jc w:val="center"/>
              <w:rPr>
                <w:rFonts w:ascii="宋体" w:hAnsi="宋体" w:cs="宋体"/>
                <w:szCs w:val="21"/>
                <w:highlight w:val="none"/>
              </w:rPr>
            </w:pPr>
            <w:r>
              <w:rPr>
                <w:rFonts w:hint="eastAsia" w:ascii="宋体" w:hAnsi="宋体" w:cs="宋体"/>
                <w:szCs w:val="21"/>
                <w:highlight w:val="none"/>
              </w:rPr>
              <w:t>日期</w:t>
            </w:r>
          </w:p>
        </w:tc>
      </w:tr>
      <w:tr w14:paraId="5857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vAlign w:val="center"/>
          </w:tcPr>
          <w:p w14:paraId="101081F0">
            <w:pPr>
              <w:autoSpaceDE w:val="0"/>
              <w:autoSpaceDN w:val="0"/>
              <w:adjustRightInd w:val="0"/>
              <w:spacing w:line="48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380" w:type="dxa"/>
            <w:vAlign w:val="center"/>
          </w:tcPr>
          <w:p w14:paraId="78A78C94">
            <w:pPr>
              <w:autoSpaceDE w:val="0"/>
              <w:autoSpaceDN w:val="0"/>
              <w:adjustRightInd w:val="0"/>
              <w:spacing w:line="48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5274" w:type="dxa"/>
            <w:vAlign w:val="center"/>
          </w:tcPr>
          <w:p w14:paraId="683C5E87">
            <w:pPr>
              <w:autoSpaceDE w:val="0"/>
              <w:autoSpaceDN w:val="0"/>
              <w:adjustRightInd w:val="0"/>
              <w:spacing w:line="48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按照新版质量认证规则内容修订5.1</w:t>
            </w:r>
          </w:p>
        </w:tc>
        <w:tc>
          <w:tcPr>
            <w:tcW w:w="1060" w:type="dxa"/>
            <w:vAlign w:val="center"/>
          </w:tcPr>
          <w:p w14:paraId="0B83E77C">
            <w:pPr>
              <w:autoSpaceDE w:val="0"/>
              <w:autoSpaceDN w:val="0"/>
              <w:adjustRightInd w:val="0"/>
              <w:spacing w:line="48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张子楠</w:t>
            </w:r>
          </w:p>
        </w:tc>
        <w:tc>
          <w:tcPr>
            <w:tcW w:w="1061" w:type="dxa"/>
            <w:vAlign w:val="center"/>
          </w:tcPr>
          <w:p w14:paraId="7C629F40">
            <w:pPr>
              <w:autoSpaceDE w:val="0"/>
              <w:autoSpaceDN w:val="0"/>
              <w:adjustRightInd w:val="0"/>
              <w:spacing w:line="480" w:lineRule="auto"/>
              <w:jc w:val="center"/>
              <w:rPr>
                <w:rFonts w:hint="default" w:ascii="宋体" w:hAnsi="宋体" w:eastAsia="宋体" w:cs="宋体"/>
                <w:szCs w:val="21"/>
                <w:highlight w:val="none"/>
                <w:lang w:val="en-US" w:eastAsia="zh-CN"/>
              </w:rPr>
            </w:pPr>
            <w:r>
              <w:rPr>
                <w:rFonts w:hint="eastAsia" w:ascii="宋体" w:hAnsi="宋体" w:eastAsia="宋体" w:cs="宋体"/>
                <w:sz w:val="18"/>
                <w:szCs w:val="18"/>
                <w:highlight w:val="none"/>
                <w:lang w:val="en-US" w:eastAsia="zh-CN"/>
              </w:rPr>
              <w:t>2025.9.19</w:t>
            </w:r>
          </w:p>
        </w:tc>
      </w:tr>
      <w:tr w14:paraId="547E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453BEEC5">
            <w:pPr>
              <w:autoSpaceDE w:val="0"/>
              <w:autoSpaceDN w:val="0"/>
              <w:adjustRightInd w:val="0"/>
              <w:spacing w:line="480" w:lineRule="auto"/>
              <w:rPr>
                <w:rFonts w:ascii="宋体" w:hAnsi="宋体" w:cs="宋体"/>
                <w:szCs w:val="21"/>
                <w:highlight w:val="none"/>
              </w:rPr>
            </w:pPr>
          </w:p>
        </w:tc>
        <w:tc>
          <w:tcPr>
            <w:tcW w:w="1380" w:type="dxa"/>
          </w:tcPr>
          <w:p w14:paraId="4727AEDD">
            <w:pPr>
              <w:autoSpaceDE w:val="0"/>
              <w:autoSpaceDN w:val="0"/>
              <w:adjustRightInd w:val="0"/>
              <w:spacing w:line="480" w:lineRule="auto"/>
              <w:rPr>
                <w:rFonts w:ascii="宋体" w:hAnsi="宋体" w:cs="宋体"/>
                <w:szCs w:val="21"/>
                <w:highlight w:val="none"/>
              </w:rPr>
            </w:pPr>
          </w:p>
        </w:tc>
        <w:tc>
          <w:tcPr>
            <w:tcW w:w="5274" w:type="dxa"/>
          </w:tcPr>
          <w:p w14:paraId="6A3B2123">
            <w:pPr>
              <w:autoSpaceDE w:val="0"/>
              <w:autoSpaceDN w:val="0"/>
              <w:adjustRightInd w:val="0"/>
              <w:spacing w:line="480" w:lineRule="auto"/>
              <w:rPr>
                <w:rFonts w:ascii="宋体" w:hAnsi="宋体" w:cs="宋体"/>
                <w:szCs w:val="21"/>
                <w:highlight w:val="none"/>
              </w:rPr>
            </w:pPr>
          </w:p>
        </w:tc>
        <w:tc>
          <w:tcPr>
            <w:tcW w:w="1060" w:type="dxa"/>
          </w:tcPr>
          <w:p w14:paraId="436F5065">
            <w:pPr>
              <w:autoSpaceDE w:val="0"/>
              <w:autoSpaceDN w:val="0"/>
              <w:adjustRightInd w:val="0"/>
              <w:spacing w:line="480" w:lineRule="auto"/>
              <w:rPr>
                <w:rFonts w:ascii="宋体" w:hAnsi="宋体" w:cs="宋体"/>
                <w:szCs w:val="21"/>
                <w:highlight w:val="none"/>
              </w:rPr>
            </w:pPr>
          </w:p>
        </w:tc>
        <w:tc>
          <w:tcPr>
            <w:tcW w:w="1061" w:type="dxa"/>
          </w:tcPr>
          <w:p w14:paraId="50362DAD">
            <w:pPr>
              <w:autoSpaceDE w:val="0"/>
              <w:autoSpaceDN w:val="0"/>
              <w:adjustRightInd w:val="0"/>
              <w:spacing w:line="480" w:lineRule="auto"/>
              <w:rPr>
                <w:rFonts w:ascii="宋体" w:hAnsi="宋体" w:cs="宋体"/>
                <w:szCs w:val="21"/>
                <w:highlight w:val="none"/>
              </w:rPr>
            </w:pPr>
          </w:p>
        </w:tc>
      </w:tr>
      <w:tr w14:paraId="5293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101E3871">
            <w:pPr>
              <w:autoSpaceDE w:val="0"/>
              <w:autoSpaceDN w:val="0"/>
              <w:adjustRightInd w:val="0"/>
              <w:spacing w:line="480" w:lineRule="auto"/>
              <w:rPr>
                <w:rFonts w:ascii="宋体" w:hAnsi="宋体" w:cs="宋体"/>
                <w:szCs w:val="21"/>
                <w:highlight w:val="none"/>
              </w:rPr>
            </w:pPr>
          </w:p>
        </w:tc>
        <w:tc>
          <w:tcPr>
            <w:tcW w:w="1380" w:type="dxa"/>
          </w:tcPr>
          <w:p w14:paraId="3F149C1E">
            <w:pPr>
              <w:autoSpaceDE w:val="0"/>
              <w:autoSpaceDN w:val="0"/>
              <w:adjustRightInd w:val="0"/>
              <w:spacing w:line="480" w:lineRule="auto"/>
              <w:rPr>
                <w:rFonts w:ascii="宋体" w:hAnsi="宋体" w:cs="宋体"/>
                <w:szCs w:val="21"/>
                <w:highlight w:val="none"/>
              </w:rPr>
            </w:pPr>
          </w:p>
        </w:tc>
        <w:tc>
          <w:tcPr>
            <w:tcW w:w="5274" w:type="dxa"/>
          </w:tcPr>
          <w:p w14:paraId="1EF09BF3">
            <w:pPr>
              <w:autoSpaceDE w:val="0"/>
              <w:autoSpaceDN w:val="0"/>
              <w:adjustRightInd w:val="0"/>
              <w:spacing w:line="480" w:lineRule="auto"/>
              <w:rPr>
                <w:rFonts w:ascii="宋体" w:hAnsi="宋体" w:cs="宋体"/>
                <w:szCs w:val="21"/>
                <w:highlight w:val="none"/>
              </w:rPr>
            </w:pPr>
            <w:bookmarkStart w:id="0" w:name="_GoBack"/>
            <w:bookmarkEnd w:id="0"/>
          </w:p>
        </w:tc>
        <w:tc>
          <w:tcPr>
            <w:tcW w:w="1060" w:type="dxa"/>
          </w:tcPr>
          <w:p w14:paraId="65ED7F85">
            <w:pPr>
              <w:autoSpaceDE w:val="0"/>
              <w:autoSpaceDN w:val="0"/>
              <w:adjustRightInd w:val="0"/>
              <w:spacing w:line="480" w:lineRule="auto"/>
              <w:rPr>
                <w:rFonts w:ascii="宋体" w:hAnsi="宋体" w:cs="宋体"/>
                <w:szCs w:val="21"/>
                <w:highlight w:val="none"/>
              </w:rPr>
            </w:pPr>
          </w:p>
        </w:tc>
        <w:tc>
          <w:tcPr>
            <w:tcW w:w="1061" w:type="dxa"/>
          </w:tcPr>
          <w:p w14:paraId="74FB68E8">
            <w:pPr>
              <w:autoSpaceDE w:val="0"/>
              <w:autoSpaceDN w:val="0"/>
              <w:adjustRightInd w:val="0"/>
              <w:spacing w:line="480" w:lineRule="auto"/>
              <w:rPr>
                <w:rFonts w:ascii="宋体" w:hAnsi="宋体" w:cs="宋体"/>
                <w:szCs w:val="21"/>
                <w:highlight w:val="none"/>
              </w:rPr>
            </w:pPr>
          </w:p>
        </w:tc>
      </w:tr>
      <w:tr w14:paraId="410F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2925654B">
            <w:pPr>
              <w:autoSpaceDE w:val="0"/>
              <w:autoSpaceDN w:val="0"/>
              <w:adjustRightInd w:val="0"/>
              <w:spacing w:line="480" w:lineRule="auto"/>
              <w:rPr>
                <w:rFonts w:ascii="宋体" w:hAnsi="宋体" w:cs="宋体"/>
                <w:szCs w:val="21"/>
                <w:highlight w:val="none"/>
              </w:rPr>
            </w:pPr>
          </w:p>
        </w:tc>
        <w:tc>
          <w:tcPr>
            <w:tcW w:w="1380" w:type="dxa"/>
          </w:tcPr>
          <w:p w14:paraId="686B0601">
            <w:pPr>
              <w:autoSpaceDE w:val="0"/>
              <w:autoSpaceDN w:val="0"/>
              <w:adjustRightInd w:val="0"/>
              <w:spacing w:line="480" w:lineRule="auto"/>
              <w:rPr>
                <w:rFonts w:ascii="宋体" w:hAnsi="宋体" w:cs="宋体"/>
                <w:szCs w:val="21"/>
                <w:highlight w:val="none"/>
              </w:rPr>
            </w:pPr>
          </w:p>
        </w:tc>
        <w:tc>
          <w:tcPr>
            <w:tcW w:w="5274" w:type="dxa"/>
          </w:tcPr>
          <w:p w14:paraId="58EB49BF">
            <w:pPr>
              <w:autoSpaceDE w:val="0"/>
              <w:autoSpaceDN w:val="0"/>
              <w:adjustRightInd w:val="0"/>
              <w:spacing w:line="480" w:lineRule="auto"/>
              <w:rPr>
                <w:rFonts w:ascii="宋体" w:hAnsi="宋体" w:cs="宋体"/>
                <w:szCs w:val="21"/>
                <w:highlight w:val="none"/>
              </w:rPr>
            </w:pPr>
          </w:p>
        </w:tc>
        <w:tc>
          <w:tcPr>
            <w:tcW w:w="1060" w:type="dxa"/>
          </w:tcPr>
          <w:p w14:paraId="132F68EB">
            <w:pPr>
              <w:autoSpaceDE w:val="0"/>
              <w:autoSpaceDN w:val="0"/>
              <w:adjustRightInd w:val="0"/>
              <w:spacing w:line="480" w:lineRule="auto"/>
              <w:rPr>
                <w:rFonts w:ascii="宋体" w:hAnsi="宋体" w:cs="宋体"/>
                <w:szCs w:val="21"/>
                <w:highlight w:val="none"/>
              </w:rPr>
            </w:pPr>
          </w:p>
        </w:tc>
        <w:tc>
          <w:tcPr>
            <w:tcW w:w="1061" w:type="dxa"/>
          </w:tcPr>
          <w:p w14:paraId="2987A1D8">
            <w:pPr>
              <w:autoSpaceDE w:val="0"/>
              <w:autoSpaceDN w:val="0"/>
              <w:adjustRightInd w:val="0"/>
              <w:spacing w:line="480" w:lineRule="auto"/>
              <w:rPr>
                <w:rFonts w:ascii="宋体" w:hAnsi="宋体" w:cs="宋体"/>
                <w:szCs w:val="21"/>
                <w:highlight w:val="none"/>
              </w:rPr>
            </w:pPr>
          </w:p>
        </w:tc>
      </w:tr>
      <w:tr w14:paraId="6AAC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6E658F02">
            <w:pPr>
              <w:autoSpaceDE w:val="0"/>
              <w:autoSpaceDN w:val="0"/>
              <w:adjustRightInd w:val="0"/>
              <w:spacing w:line="480" w:lineRule="auto"/>
              <w:rPr>
                <w:rFonts w:ascii="宋体" w:hAnsi="宋体" w:cs="宋体"/>
                <w:szCs w:val="21"/>
                <w:highlight w:val="none"/>
              </w:rPr>
            </w:pPr>
          </w:p>
        </w:tc>
        <w:tc>
          <w:tcPr>
            <w:tcW w:w="1380" w:type="dxa"/>
          </w:tcPr>
          <w:p w14:paraId="7BC8058B">
            <w:pPr>
              <w:autoSpaceDE w:val="0"/>
              <w:autoSpaceDN w:val="0"/>
              <w:adjustRightInd w:val="0"/>
              <w:spacing w:line="480" w:lineRule="auto"/>
              <w:rPr>
                <w:rFonts w:ascii="宋体" w:hAnsi="宋体" w:cs="宋体"/>
                <w:szCs w:val="21"/>
                <w:highlight w:val="none"/>
              </w:rPr>
            </w:pPr>
          </w:p>
        </w:tc>
        <w:tc>
          <w:tcPr>
            <w:tcW w:w="5274" w:type="dxa"/>
          </w:tcPr>
          <w:p w14:paraId="7927F27A">
            <w:pPr>
              <w:autoSpaceDE w:val="0"/>
              <w:autoSpaceDN w:val="0"/>
              <w:adjustRightInd w:val="0"/>
              <w:spacing w:line="480" w:lineRule="auto"/>
              <w:rPr>
                <w:rFonts w:ascii="宋体" w:hAnsi="宋体" w:cs="宋体"/>
                <w:szCs w:val="21"/>
                <w:highlight w:val="none"/>
              </w:rPr>
            </w:pPr>
          </w:p>
        </w:tc>
        <w:tc>
          <w:tcPr>
            <w:tcW w:w="1060" w:type="dxa"/>
          </w:tcPr>
          <w:p w14:paraId="01CF4FAC">
            <w:pPr>
              <w:autoSpaceDE w:val="0"/>
              <w:autoSpaceDN w:val="0"/>
              <w:adjustRightInd w:val="0"/>
              <w:spacing w:line="480" w:lineRule="auto"/>
              <w:rPr>
                <w:rFonts w:ascii="宋体" w:hAnsi="宋体" w:cs="宋体"/>
                <w:szCs w:val="21"/>
                <w:highlight w:val="none"/>
              </w:rPr>
            </w:pPr>
          </w:p>
        </w:tc>
        <w:tc>
          <w:tcPr>
            <w:tcW w:w="1061" w:type="dxa"/>
          </w:tcPr>
          <w:p w14:paraId="54E6CE1C">
            <w:pPr>
              <w:autoSpaceDE w:val="0"/>
              <w:autoSpaceDN w:val="0"/>
              <w:adjustRightInd w:val="0"/>
              <w:spacing w:line="480" w:lineRule="auto"/>
              <w:rPr>
                <w:rFonts w:ascii="宋体" w:hAnsi="宋体" w:cs="宋体"/>
                <w:szCs w:val="21"/>
                <w:highlight w:val="none"/>
              </w:rPr>
            </w:pPr>
          </w:p>
        </w:tc>
      </w:tr>
      <w:tr w14:paraId="2E05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4C911675">
            <w:pPr>
              <w:autoSpaceDE w:val="0"/>
              <w:autoSpaceDN w:val="0"/>
              <w:adjustRightInd w:val="0"/>
              <w:spacing w:line="480" w:lineRule="auto"/>
              <w:rPr>
                <w:rFonts w:ascii="宋体" w:hAnsi="宋体" w:cs="宋体"/>
                <w:szCs w:val="21"/>
                <w:highlight w:val="none"/>
              </w:rPr>
            </w:pPr>
          </w:p>
        </w:tc>
        <w:tc>
          <w:tcPr>
            <w:tcW w:w="1380" w:type="dxa"/>
          </w:tcPr>
          <w:p w14:paraId="73B1FBDE">
            <w:pPr>
              <w:autoSpaceDE w:val="0"/>
              <w:autoSpaceDN w:val="0"/>
              <w:adjustRightInd w:val="0"/>
              <w:spacing w:line="480" w:lineRule="auto"/>
              <w:rPr>
                <w:rFonts w:ascii="宋体" w:hAnsi="宋体" w:cs="宋体"/>
                <w:szCs w:val="21"/>
                <w:highlight w:val="none"/>
              </w:rPr>
            </w:pPr>
          </w:p>
        </w:tc>
        <w:tc>
          <w:tcPr>
            <w:tcW w:w="5274" w:type="dxa"/>
          </w:tcPr>
          <w:p w14:paraId="1470CB20">
            <w:pPr>
              <w:autoSpaceDE w:val="0"/>
              <w:autoSpaceDN w:val="0"/>
              <w:adjustRightInd w:val="0"/>
              <w:spacing w:line="480" w:lineRule="auto"/>
              <w:rPr>
                <w:rFonts w:ascii="宋体" w:hAnsi="宋体" w:cs="宋体"/>
                <w:szCs w:val="21"/>
                <w:highlight w:val="none"/>
              </w:rPr>
            </w:pPr>
          </w:p>
        </w:tc>
        <w:tc>
          <w:tcPr>
            <w:tcW w:w="1060" w:type="dxa"/>
          </w:tcPr>
          <w:p w14:paraId="3B18FB21">
            <w:pPr>
              <w:autoSpaceDE w:val="0"/>
              <w:autoSpaceDN w:val="0"/>
              <w:adjustRightInd w:val="0"/>
              <w:spacing w:line="480" w:lineRule="auto"/>
              <w:rPr>
                <w:rFonts w:ascii="宋体" w:hAnsi="宋体" w:cs="宋体"/>
                <w:szCs w:val="21"/>
                <w:highlight w:val="none"/>
              </w:rPr>
            </w:pPr>
          </w:p>
        </w:tc>
        <w:tc>
          <w:tcPr>
            <w:tcW w:w="1061" w:type="dxa"/>
          </w:tcPr>
          <w:p w14:paraId="731B06A1">
            <w:pPr>
              <w:autoSpaceDE w:val="0"/>
              <w:autoSpaceDN w:val="0"/>
              <w:adjustRightInd w:val="0"/>
              <w:spacing w:line="480" w:lineRule="auto"/>
              <w:rPr>
                <w:rFonts w:ascii="宋体" w:hAnsi="宋体" w:cs="宋体"/>
                <w:szCs w:val="21"/>
                <w:highlight w:val="none"/>
              </w:rPr>
            </w:pPr>
          </w:p>
        </w:tc>
      </w:tr>
      <w:tr w14:paraId="2F90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261F5383">
            <w:pPr>
              <w:autoSpaceDE w:val="0"/>
              <w:autoSpaceDN w:val="0"/>
              <w:adjustRightInd w:val="0"/>
              <w:spacing w:line="480" w:lineRule="auto"/>
              <w:rPr>
                <w:rFonts w:ascii="宋体" w:hAnsi="宋体" w:cs="宋体"/>
                <w:szCs w:val="21"/>
                <w:highlight w:val="none"/>
              </w:rPr>
            </w:pPr>
          </w:p>
        </w:tc>
        <w:tc>
          <w:tcPr>
            <w:tcW w:w="1380" w:type="dxa"/>
          </w:tcPr>
          <w:p w14:paraId="3486AB54">
            <w:pPr>
              <w:autoSpaceDE w:val="0"/>
              <w:autoSpaceDN w:val="0"/>
              <w:adjustRightInd w:val="0"/>
              <w:spacing w:line="480" w:lineRule="auto"/>
              <w:rPr>
                <w:rFonts w:ascii="宋体" w:hAnsi="宋体" w:cs="宋体"/>
                <w:szCs w:val="21"/>
                <w:highlight w:val="none"/>
              </w:rPr>
            </w:pPr>
          </w:p>
        </w:tc>
        <w:tc>
          <w:tcPr>
            <w:tcW w:w="5274" w:type="dxa"/>
          </w:tcPr>
          <w:p w14:paraId="23D67290">
            <w:pPr>
              <w:autoSpaceDE w:val="0"/>
              <w:autoSpaceDN w:val="0"/>
              <w:adjustRightInd w:val="0"/>
              <w:spacing w:line="480" w:lineRule="auto"/>
              <w:rPr>
                <w:rFonts w:ascii="宋体" w:hAnsi="宋体" w:cs="宋体"/>
                <w:szCs w:val="21"/>
                <w:highlight w:val="none"/>
              </w:rPr>
            </w:pPr>
          </w:p>
        </w:tc>
        <w:tc>
          <w:tcPr>
            <w:tcW w:w="1060" w:type="dxa"/>
          </w:tcPr>
          <w:p w14:paraId="08C855DF">
            <w:pPr>
              <w:autoSpaceDE w:val="0"/>
              <w:autoSpaceDN w:val="0"/>
              <w:adjustRightInd w:val="0"/>
              <w:spacing w:line="480" w:lineRule="auto"/>
              <w:rPr>
                <w:rFonts w:ascii="宋体" w:hAnsi="宋体" w:cs="宋体"/>
                <w:szCs w:val="21"/>
                <w:highlight w:val="none"/>
              </w:rPr>
            </w:pPr>
          </w:p>
        </w:tc>
        <w:tc>
          <w:tcPr>
            <w:tcW w:w="1061" w:type="dxa"/>
          </w:tcPr>
          <w:p w14:paraId="42ED99F9">
            <w:pPr>
              <w:autoSpaceDE w:val="0"/>
              <w:autoSpaceDN w:val="0"/>
              <w:adjustRightInd w:val="0"/>
              <w:spacing w:line="480" w:lineRule="auto"/>
              <w:rPr>
                <w:rFonts w:ascii="宋体" w:hAnsi="宋体" w:cs="宋体"/>
                <w:szCs w:val="21"/>
                <w:highlight w:val="none"/>
              </w:rPr>
            </w:pPr>
          </w:p>
        </w:tc>
      </w:tr>
      <w:tr w14:paraId="055E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3B020282">
            <w:pPr>
              <w:autoSpaceDE w:val="0"/>
              <w:autoSpaceDN w:val="0"/>
              <w:adjustRightInd w:val="0"/>
              <w:spacing w:line="480" w:lineRule="auto"/>
              <w:rPr>
                <w:rFonts w:ascii="宋体" w:hAnsi="宋体" w:cs="宋体"/>
                <w:szCs w:val="21"/>
                <w:highlight w:val="none"/>
              </w:rPr>
            </w:pPr>
          </w:p>
        </w:tc>
        <w:tc>
          <w:tcPr>
            <w:tcW w:w="1380" w:type="dxa"/>
          </w:tcPr>
          <w:p w14:paraId="14F646D1">
            <w:pPr>
              <w:autoSpaceDE w:val="0"/>
              <w:autoSpaceDN w:val="0"/>
              <w:adjustRightInd w:val="0"/>
              <w:spacing w:line="480" w:lineRule="auto"/>
              <w:rPr>
                <w:rFonts w:ascii="宋体" w:hAnsi="宋体" w:cs="宋体"/>
                <w:szCs w:val="21"/>
                <w:highlight w:val="none"/>
              </w:rPr>
            </w:pPr>
          </w:p>
        </w:tc>
        <w:tc>
          <w:tcPr>
            <w:tcW w:w="5274" w:type="dxa"/>
          </w:tcPr>
          <w:p w14:paraId="28B2742D">
            <w:pPr>
              <w:autoSpaceDE w:val="0"/>
              <w:autoSpaceDN w:val="0"/>
              <w:adjustRightInd w:val="0"/>
              <w:spacing w:line="480" w:lineRule="auto"/>
              <w:rPr>
                <w:rFonts w:ascii="宋体" w:hAnsi="宋体" w:cs="宋体"/>
                <w:szCs w:val="21"/>
                <w:highlight w:val="none"/>
              </w:rPr>
            </w:pPr>
          </w:p>
        </w:tc>
        <w:tc>
          <w:tcPr>
            <w:tcW w:w="1060" w:type="dxa"/>
          </w:tcPr>
          <w:p w14:paraId="7BF6B4B6">
            <w:pPr>
              <w:autoSpaceDE w:val="0"/>
              <w:autoSpaceDN w:val="0"/>
              <w:adjustRightInd w:val="0"/>
              <w:spacing w:line="480" w:lineRule="auto"/>
              <w:rPr>
                <w:rFonts w:ascii="宋体" w:hAnsi="宋体" w:cs="宋体"/>
                <w:szCs w:val="21"/>
                <w:highlight w:val="none"/>
              </w:rPr>
            </w:pPr>
          </w:p>
        </w:tc>
        <w:tc>
          <w:tcPr>
            <w:tcW w:w="1061" w:type="dxa"/>
          </w:tcPr>
          <w:p w14:paraId="583308AF">
            <w:pPr>
              <w:autoSpaceDE w:val="0"/>
              <w:autoSpaceDN w:val="0"/>
              <w:adjustRightInd w:val="0"/>
              <w:spacing w:line="480" w:lineRule="auto"/>
              <w:rPr>
                <w:rFonts w:ascii="宋体" w:hAnsi="宋体" w:cs="宋体"/>
                <w:szCs w:val="21"/>
                <w:highlight w:val="none"/>
              </w:rPr>
            </w:pPr>
          </w:p>
        </w:tc>
      </w:tr>
      <w:tr w14:paraId="5863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1BA3D550">
            <w:pPr>
              <w:autoSpaceDE w:val="0"/>
              <w:autoSpaceDN w:val="0"/>
              <w:adjustRightInd w:val="0"/>
              <w:spacing w:line="480" w:lineRule="auto"/>
              <w:rPr>
                <w:rFonts w:ascii="宋体" w:hAnsi="宋体" w:cs="宋体"/>
                <w:szCs w:val="21"/>
                <w:highlight w:val="none"/>
              </w:rPr>
            </w:pPr>
          </w:p>
        </w:tc>
        <w:tc>
          <w:tcPr>
            <w:tcW w:w="1380" w:type="dxa"/>
          </w:tcPr>
          <w:p w14:paraId="2A32F393">
            <w:pPr>
              <w:autoSpaceDE w:val="0"/>
              <w:autoSpaceDN w:val="0"/>
              <w:adjustRightInd w:val="0"/>
              <w:spacing w:line="480" w:lineRule="auto"/>
              <w:rPr>
                <w:rFonts w:ascii="宋体" w:hAnsi="宋体" w:cs="宋体"/>
                <w:szCs w:val="21"/>
                <w:highlight w:val="none"/>
              </w:rPr>
            </w:pPr>
          </w:p>
        </w:tc>
        <w:tc>
          <w:tcPr>
            <w:tcW w:w="5274" w:type="dxa"/>
          </w:tcPr>
          <w:p w14:paraId="7F076A6E">
            <w:pPr>
              <w:autoSpaceDE w:val="0"/>
              <w:autoSpaceDN w:val="0"/>
              <w:adjustRightInd w:val="0"/>
              <w:spacing w:line="480" w:lineRule="auto"/>
              <w:rPr>
                <w:rFonts w:ascii="宋体" w:hAnsi="宋体" w:cs="宋体"/>
                <w:szCs w:val="21"/>
                <w:highlight w:val="none"/>
              </w:rPr>
            </w:pPr>
          </w:p>
        </w:tc>
        <w:tc>
          <w:tcPr>
            <w:tcW w:w="1060" w:type="dxa"/>
          </w:tcPr>
          <w:p w14:paraId="6BADF227">
            <w:pPr>
              <w:autoSpaceDE w:val="0"/>
              <w:autoSpaceDN w:val="0"/>
              <w:adjustRightInd w:val="0"/>
              <w:spacing w:line="480" w:lineRule="auto"/>
              <w:rPr>
                <w:rFonts w:ascii="宋体" w:hAnsi="宋体" w:cs="宋体"/>
                <w:szCs w:val="21"/>
                <w:highlight w:val="none"/>
              </w:rPr>
            </w:pPr>
          </w:p>
        </w:tc>
        <w:tc>
          <w:tcPr>
            <w:tcW w:w="1061" w:type="dxa"/>
          </w:tcPr>
          <w:p w14:paraId="25815F8F">
            <w:pPr>
              <w:autoSpaceDE w:val="0"/>
              <w:autoSpaceDN w:val="0"/>
              <w:adjustRightInd w:val="0"/>
              <w:spacing w:line="480" w:lineRule="auto"/>
              <w:rPr>
                <w:rFonts w:ascii="宋体" w:hAnsi="宋体" w:cs="宋体"/>
                <w:szCs w:val="21"/>
                <w:highlight w:val="none"/>
              </w:rPr>
            </w:pPr>
          </w:p>
        </w:tc>
      </w:tr>
      <w:tr w14:paraId="13A6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Pr>
          <w:p w14:paraId="2DE288E7">
            <w:pPr>
              <w:autoSpaceDE w:val="0"/>
              <w:autoSpaceDN w:val="0"/>
              <w:adjustRightInd w:val="0"/>
              <w:spacing w:line="480" w:lineRule="auto"/>
              <w:rPr>
                <w:rFonts w:ascii="宋体" w:hAnsi="宋体" w:cs="宋体"/>
                <w:szCs w:val="21"/>
                <w:highlight w:val="none"/>
              </w:rPr>
            </w:pPr>
          </w:p>
        </w:tc>
        <w:tc>
          <w:tcPr>
            <w:tcW w:w="1380" w:type="dxa"/>
          </w:tcPr>
          <w:p w14:paraId="1E7F911E">
            <w:pPr>
              <w:autoSpaceDE w:val="0"/>
              <w:autoSpaceDN w:val="0"/>
              <w:adjustRightInd w:val="0"/>
              <w:spacing w:line="480" w:lineRule="auto"/>
              <w:rPr>
                <w:rFonts w:ascii="宋体" w:hAnsi="宋体" w:cs="宋体"/>
                <w:szCs w:val="21"/>
                <w:highlight w:val="none"/>
              </w:rPr>
            </w:pPr>
          </w:p>
        </w:tc>
        <w:tc>
          <w:tcPr>
            <w:tcW w:w="5274" w:type="dxa"/>
          </w:tcPr>
          <w:p w14:paraId="2622154A">
            <w:pPr>
              <w:autoSpaceDE w:val="0"/>
              <w:autoSpaceDN w:val="0"/>
              <w:adjustRightInd w:val="0"/>
              <w:spacing w:line="480" w:lineRule="auto"/>
              <w:rPr>
                <w:rFonts w:ascii="宋体" w:hAnsi="宋体" w:cs="宋体"/>
                <w:szCs w:val="21"/>
                <w:highlight w:val="none"/>
              </w:rPr>
            </w:pPr>
          </w:p>
        </w:tc>
        <w:tc>
          <w:tcPr>
            <w:tcW w:w="1060" w:type="dxa"/>
          </w:tcPr>
          <w:p w14:paraId="2F2FB66A">
            <w:pPr>
              <w:autoSpaceDE w:val="0"/>
              <w:autoSpaceDN w:val="0"/>
              <w:adjustRightInd w:val="0"/>
              <w:spacing w:line="480" w:lineRule="auto"/>
              <w:rPr>
                <w:rFonts w:ascii="宋体" w:hAnsi="宋体" w:cs="宋体"/>
                <w:szCs w:val="21"/>
                <w:highlight w:val="none"/>
              </w:rPr>
            </w:pPr>
          </w:p>
        </w:tc>
        <w:tc>
          <w:tcPr>
            <w:tcW w:w="1061" w:type="dxa"/>
          </w:tcPr>
          <w:p w14:paraId="2DCBD775">
            <w:pPr>
              <w:autoSpaceDE w:val="0"/>
              <w:autoSpaceDN w:val="0"/>
              <w:adjustRightInd w:val="0"/>
              <w:spacing w:line="480" w:lineRule="auto"/>
              <w:rPr>
                <w:rFonts w:ascii="宋体" w:hAnsi="宋体" w:cs="宋体"/>
                <w:szCs w:val="21"/>
                <w:highlight w:val="none"/>
              </w:rPr>
            </w:pPr>
          </w:p>
        </w:tc>
      </w:tr>
    </w:tbl>
    <w:p w14:paraId="0868084B">
      <w:pPr>
        <w:rPr>
          <w:rFonts w:asciiTheme="minorEastAsia" w:hAnsiTheme="minorEastAsia" w:eastAsiaTheme="minorEastAsia" w:cstheme="minorEastAsia"/>
          <w:b/>
          <w:bCs/>
          <w:highlight w:val="none"/>
          <w:lang w:eastAsia="zh-CN"/>
        </w:rPr>
        <w:sectPr>
          <w:headerReference r:id="rId4" w:type="default"/>
          <w:pgSz w:w="11900" w:h="16840"/>
          <w:pgMar w:top="1440" w:right="1080" w:bottom="1440" w:left="1080" w:header="709" w:footer="992" w:gutter="0"/>
          <w:pgNumType w:start="1"/>
          <w:cols w:space="720" w:num="1"/>
          <w:docGrid w:linePitch="360" w:charSpace="0"/>
        </w:sectPr>
      </w:pPr>
    </w:p>
    <w:p w14:paraId="6E32890C">
      <w:pPr>
        <w:rPr>
          <w:rFonts w:asciiTheme="minorEastAsia" w:hAnsiTheme="minorEastAsia" w:eastAsiaTheme="minorEastAsia" w:cstheme="minorEastAsia"/>
          <w:b/>
          <w:bCs/>
          <w:highlight w:val="none"/>
          <w:lang w:eastAsia="zh-CN"/>
        </w:rPr>
      </w:pPr>
    </w:p>
    <w:p w14:paraId="2C5615B5">
      <w:pPr>
        <w:pStyle w:val="14"/>
        <w:shd w:val="clear" w:color="auto" w:fill="auto"/>
        <w:tabs>
          <w:tab w:val="left" w:pos="354"/>
        </w:tabs>
        <w:spacing w:beforeLines="50" w:after="120" w:line="360" w:lineRule="exact"/>
        <w:rPr>
          <w:rFonts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color w:val="000000"/>
          <w:sz w:val="21"/>
          <w:szCs w:val="21"/>
          <w:highlight w:val="none"/>
          <w:lang w:val="en-US"/>
        </w:rPr>
        <w:t>1、</w:t>
      </w:r>
      <w:r>
        <w:rPr>
          <w:rFonts w:hint="eastAsia" w:asciiTheme="minorEastAsia" w:hAnsiTheme="minorEastAsia" w:eastAsiaTheme="minorEastAsia" w:cstheme="minorEastAsia"/>
          <w:b/>
          <w:bCs/>
          <w:color w:val="000000"/>
          <w:sz w:val="21"/>
          <w:szCs w:val="21"/>
          <w:highlight w:val="none"/>
        </w:rPr>
        <w:t>目的</w:t>
      </w:r>
    </w:p>
    <w:p w14:paraId="150FA4B7">
      <w:pPr>
        <w:pStyle w:val="14"/>
        <w:shd w:val="clear" w:color="auto" w:fill="auto"/>
        <w:spacing w:after="120" w:line="400" w:lineRule="exact"/>
        <w:ind w:firstLine="459"/>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为满足认可规范要求，对持有其它认证机构认证证书能够在其认证机构和本公司之间顺利进行转换，满足顾客及法规要求，制定本管理办法。</w:t>
      </w:r>
    </w:p>
    <w:p w14:paraId="75B9891E">
      <w:pPr>
        <w:pStyle w:val="14"/>
        <w:shd w:val="clear" w:color="auto" w:fill="auto"/>
        <w:tabs>
          <w:tab w:val="left" w:pos="354"/>
        </w:tabs>
        <w:spacing w:beforeLines="50" w:after="120" w:line="360" w:lineRule="exact"/>
        <w:rPr>
          <w:rFonts w:asciiTheme="minorEastAsia" w:hAnsiTheme="minorEastAsia" w:eastAsiaTheme="minorEastAsia" w:cstheme="minorEastAsia"/>
          <w:b/>
          <w:bCs/>
          <w:color w:val="000000"/>
          <w:sz w:val="21"/>
          <w:szCs w:val="21"/>
          <w:highlight w:val="none"/>
          <w:lang w:val="en-US"/>
        </w:rPr>
      </w:pPr>
      <w:r>
        <w:rPr>
          <w:rFonts w:hint="eastAsia" w:asciiTheme="minorEastAsia" w:hAnsiTheme="minorEastAsia" w:eastAsiaTheme="minorEastAsia" w:cstheme="minorEastAsia"/>
          <w:b/>
          <w:bCs/>
          <w:color w:val="000000"/>
          <w:sz w:val="21"/>
          <w:szCs w:val="21"/>
          <w:highlight w:val="none"/>
          <w:lang w:val="en-US"/>
        </w:rPr>
        <w:t>2、</w:t>
      </w:r>
      <w:r>
        <w:rPr>
          <w:rFonts w:hint="eastAsia" w:asciiTheme="minorEastAsia" w:hAnsiTheme="minorEastAsia" w:eastAsiaTheme="minorEastAsia" w:cstheme="minorEastAsia"/>
          <w:b/>
          <w:bCs/>
          <w:color w:val="000000"/>
          <w:sz w:val="21"/>
          <w:szCs w:val="21"/>
          <w:highlight w:val="none"/>
          <w:lang w:val="en-US"/>
        </w:rPr>
        <w:tab/>
      </w:r>
      <w:r>
        <w:rPr>
          <w:rFonts w:hint="eastAsia" w:asciiTheme="minorEastAsia" w:hAnsiTheme="minorEastAsia" w:eastAsiaTheme="minorEastAsia" w:cstheme="minorEastAsia"/>
          <w:b/>
          <w:bCs/>
          <w:color w:val="000000"/>
          <w:sz w:val="21"/>
          <w:szCs w:val="21"/>
          <w:highlight w:val="none"/>
          <w:lang w:val="en-US"/>
        </w:rPr>
        <w:t>职责</w:t>
      </w:r>
    </w:p>
    <w:p w14:paraId="01F883A8">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2.1</w:t>
      </w:r>
      <w:r>
        <w:rPr>
          <w:rFonts w:hint="eastAsia" w:asciiTheme="minorEastAsia" w:hAnsiTheme="minorEastAsia" w:eastAsiaTheme="minorEastAsia" w:cstheme="minorEastAsia"/>
          <w:color w:val="000000"/>
          <w:sz w:val="21"/>
          <w:szCs w:val="21"/>
          <w:highlight w:val="none"/>
        </w:rPr>
        <w:t>市场部：负责初步评审转换证书的可行性，如具备转换条件受理认证客户转换认证证书的申请，并负责收集申请方应提交的资料；</w:t>
      </w:r>
    </w:p>
    <w:p w14:paraId="1D6A4407">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2.2</w:t>
      </w:r>
      <w:r>
        <w:rPr>
          <w:rFonts w:hint="eastAsia" w:asciiTheme="minorEastAsia" w:hAnsiTheme="minorEastAsia" w:eastAsiaTheme="minorEastAsia" w:cstheme="minorEastAsia"/>
          <w:color w:val="000000"/>
          <w:sz w:val="21"/>
          <w:szCs w:val="21"/>
          <w:highlight w:val="none"/>
        </w:rPr>
        <w:t>认证部：负责对申请转换的客户进行转换条件评审，不具备专业能力的情况，由专业技术支持人员补充相关专业能力；负责提交客户的转会申请，及认证证书转换审核方案的策划及适用时策划现场访问；</w:t>
      </w:r>
    </w:p>
    <w:p w14:paraId="1B636C5B">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2.3</w:t>
      </w:r>
      <w:r>
        <w:rPr>
          <w:rFonts w:hint="eastAsia" w:asciiTheme="minorEastAsia" w:hAnsiTheme="minorEastAsia" w:eastAsiaTheme="minorEastAsia" w:cstheme="minorEastAsia"/>
          <w:color w:val="000000"/>
          <w:sz w:val="21"/>
          <w:szCs w:val="21"/>
          <w:highlight w:val="none"/>
        </w:rPr>
        <w:t>专业技术支持人员：负责对转换评审的技术支持工作；</w:t>
      </w:r>
    </w:p>
    <w:p w14:paraId="0DB79696">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2.4</w:t>
      </w:r>
      <w:r>
        <w:rPr>
          <w:rFonts w:hint="eastAsia" w:asciiTheme="minorEastAsia" w:hAnsiTheme="minorEastAsia" w:eastAsiaTheme="minorEastAsia" w:cstheme="minorEastAsia"/>
          <w:color w:val="000000"/>
          <w:sz w:val="21"/>
          <w:szCs w:val="21"/>
          <w:highlight w:val="none"/>
        </w:rPr>
        <w:t>技术风控部：负责做出最终的认证决定及认证证书的数据上报，证书颁发等相关工作，以及认证档案资料的移交或接受；</w:t>
      </w:r>
    </w:p>
    <w:p w14:paraId="4B1878DC">
      <w:pPr>
        <w:pStyle w:val="14"/>
        <w:shd w:val="clear" w:color="auto" w:fill="auto"/>
        <w:tabs>
          <w:tab w:val="left" w:pos="354"/>
        </w:tabs>
        <w:spacing w:beforeLines="50" w:after="120" w:line="360" w:lineRule="exact"/>
        <w:rPr>
          <w:rFonts w:asciiTheme="minorEastAsia" w:hAnsiTheme="minorEastAsia" w:eastAsiaTheme="minorEastAsia" w:cstheme="minorEastAsia"/>
          <w:b/>
          <w:bCs/>
          <w:color w:val="000000"/>
          <w:sz w:val="21"/>
          <w:szCs w:val="21"/>
          <w:highlight w:val="none"/>
          <w:lang w:val="en-US"/>
        </w:rPr>
      </w:pPr>
      <w:r>
        <w:rPr>
          <w:rFonts w:hint="eastAsia" w:asciiTheme="minorEastAsia" w:hAnsiTheme="minorEastAsia" w:eastAsiaTheme="minorEastAsia" w:cstheme="minorEastAsia"/>
          <w:b/>
          <w:bCs/>
          <w:color w:val="000000"/>
          <w:sz w:val="21"/>
          <w:szCs w:val="21"/>
          <w:highlight w:val="none"/>
          <w:lang w:val="en-US"/>
        </w:rPr>
        <w:t>3、</w:t>
      </w:r>
      <w:r>
        <w:rPr>
          <w:rFonts w:hint="eastAsia" w:asciiTheme="minorEastAsia" w:hAnsiTheme="minorEastAsia" w:eastAsiaTheme="minorEastAsia" w:cstheme="minorEastAsia"/>
          <w:b/>
          <w:bCs/>
          <w:color w:val="000000"/>
          <w:sz w:val="21"/>
          <w:szCs w:val="21"/>
          <w:highlight w:val="none"/>
          <w:lang w:val="en-US"/>
        </w:rPr>
        <w:tab/>
      </w:r>
      <w:r>
        <w:rPr>
          <w:rFonts w:hint="eastAsia" w:asciiTheme="minorEastAsia" w:hAnsiTheme="minorEastAsia" w:eastAsiaTheme="minorEastAsia" w:cstheme="minorEastAsia"/>
          <w:b/>
          <w:bCs/>
          <w:color w:val="000000"/>
          <w:sz w:val="21"/>
          <w:szCs w:val="21"/>
          <w:highlight w:val="none"/>
          <w:lang w:val="en-US"/>
        </w:rPr>
        <w:t>适用范围</w:t>
      </w:r>
    </w:p>
    <w:p w14:paraId="655CDBDF">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3.1</w:t>
      </w:r>
      <w:r>
        <w:rPr>
          <w:rFonts w:hint="eastAsia" w:asciiTheme="minorEastAsia" w:hAnsiTheme="minorEastAsia" w:eastAsiaTheme="minorEastAsia" w:cstheme="minorEastAsia"/>
          <w:color w:val="000000"/>
          <w:sz w:val="21"/>
          <w:szCs w:val="21"/>
          <w:highlight w:val="none"/>
        </w:rPr>
        <w:t>持有</w:t>
      </w:r>
      <w:r>
        <w:rPr>
          <w:rFonts w:hint="eastAsia" w:asciiTheme="minorEastAsia" w:hAnsiTheme="minorEastAsia" w:eastAsiaTheme="minorEastAsia" w:cstheme="minorEastAsia"/>
          <w:color w:val="000000"/>
          <w:sz w:val="21"/>
          <w:szCs w:val="21"/>
          <w:highlight w:val="none"/>
          <w:lang w:val="en-US" w:bidi="en-US"/>
        </w:rPr>
        <w:t>IAFMLA</w:t>
      </w:r>
      <w:r>
        <w:rPr>
          <w:rFonts w:hint="eastAsia" w:asciiTheme="minorEastAsia" w:hAnsiTheme="minorEastAsia" w:eastAsiaTheme="minorEastAsia" w:cstheme="minorEastAsia"/>
          <w:color w:val="000000"/>
          <w:sz w:val="21"/>
          <w:szCs w:val="21"/>
          <w:highlight w:val="none"/>
        </w:rPr>
        <w:t>签约机构认可的、现行有效的管理体系证书的组织方可进行证书转换；</w:t>
      </w:r>
    </w:p>
    <w:p w14:paraId="59106103">
      <w:pPr>
        <w:pStyle w:val="14"/>
        <w:shd w:val="clear" w:color="auto" w:fill="auto"/>
        <w:spacing w:line="400" w:lineRule="exact"/>
        <w:jc w:val="both"/>
        <w:rPr>
          <w:rFonts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 xml:space="preserve">3.2 </w:t>
      </w:r>
      <w:r>
        <w:rPr>
          <w:rFonts w:hint="eastAsia" w:asciiTheme="minorEastAsia" w:hAnsiTheme="minorEastAsia" w:eastAsiaTheme="minorEastAsia" w:cstheme="minorEastAsia"/>
          <w:color w:val="000000"/>
          <w:sz w:val="21"/>
          <w:szCs w:val="21"/>
          <w:highlight w:val="none"/>
        </w:rPr>
        <w:t>持有非IAFMLA互认标志的认证证书，不能按照本管理办法进行转换，只能按照初次审核方式重新获得认证证书。</w:t>
      </w:r>
    </w:p>
    <w:p w14:paraId="326F06D9">
      <w:pPr>
        <w:pStyle w:val="14"/>
        <w:shd w:val="clear" w:color="auto" w:fill="auto"/>
        <w:spacing w:line="400" w:lineRule="exact"/>
        <w:jc w:val="both"/>
        <w:rPr>
          <w:rFonts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 xml:space="preserve">3.3 </w:t>
      </w:r>
      <w:r>
        <w:rPr>
          <w:rFonts w:hint="eastAsia" w:asciiTheme="minorEastAsia" w:hAnsiTheme="minorEastAsia" w:eastAsiaTheme="minorEastAsia" w:cstheme="minorEastAsia"/>
          <w:color w:val="000000"/>
          <w:sz w:val="21"/>
          <w:szCs w:val="21"/>
          <w:highlight w:val="none"/>
        </w:rPr>
        <w:t>本管理办法不适用于多重认证证书（即同一管理体系同时被一个以上的认证机构所认证）的转换。</w:t>
      </w:r>
    </w:p>
    <w:p w14:paraId="7E510EDE">
      <w:pPr>
        <w:pStyle w:val="14"/>
        <w:shd w:val="clear" w:color="auto" w:fill="auto"/>
        <w:tabs>
          <w:tab w:val="left" w:pos="354"/>
        </w:tabs>
        <w:spacing w:beforeLines="50" w:after="120" w:line="360" w:lineRule="exact"/>
        <w:rPr>
          <w:rFonts w:asciiTheme="minorEastAsia" w:hAnsiTheme="minorEastAsia" w:eastAsiaTheme="minorEastAsia" w:cstheme="minorEastAsia"/>
          <w:b/>
          <w:bCs/>
          <w:color w:val="000000"/>
          <w:sz w:val="21"/>
          <w:szCs w:val="21"/>
          <w:highlight w:val="none"/>
          <w:lang w:val="en-US"/>
        </w:rPr>
      </w:pPr>
      <w:r>
        <w:rPr>
          <w:rFonts w:hint="eastAsia" w:asciiTheme="minorEastAsia" w:hAnsiTheme="minorEastAsia" w:eastAsiaTheme="minorEastAsia" w:cstheme="minorEastAsia"/>
          <w:b/>
          <w:bCs/>
          <w:color w:val="000000"/>
          <w:sz w:val="21"/>
          <w:szCs w:val="21"/>
          <w:highlight w:val="none"/>
          <w:lang w:val="en-US"/>
        </w:rPr>
        <w:t>4、</w:t>
      </w:r>
      <w:r>
        <w:rPr>
          <w:rFonts w:hint="eastAsia" w:asciiTheme="minorEastAsia" w:hAnsiTheme="minorEastAsia" w:eastAsiaTheme="minorEastAsia" w:cstheme="minorEastAsia"/>
          <w:b/>
          <w:bCs/>
          <w:color w:val="000000"/>
          <w:sz w:val="21"/>
          <w:szCs w:val="21"/>
          <w:highlight w:val="none"/>
          <w:lang w:val="en-US"/>
        </w:rPr>
        <w:tab/>
      </w:r>
      <w:r>
        <w:rPr>
          <w:rFonts w:hint="eastAsia" w:asciiTheme="minorEastAsia" w:hAnsiTheme="minorEastAsia" w:eastAsiaTheme="minorEastAsia" w:cstheme="minorEastAsia"/>
          <w:b/>
          <w:bCs/>
          <w:color w:val="000000"/>
          <w:sz w:val="21"/>
          <w:szCs w:val="21"/>
          <w:highlight w:val="none"/>
          <w:lang w:val="en-US"/>
        </w:rPr>
        <w:t>定义：</w:t>
      </w:r>
    </w:p>
    <w:p w14:paraId="5DE6C29D">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4.1</w:t>
      </w:r>
      <w:r>
        <w:rPr>
          <w:rFonts w:hint="eastAsia" w:asciiTheme="minorEastAsia" w:hAnsiTheme="minorEastAsia" w:eastAsiaTheme="minorEastAsia" w:cstheme="minorEastAsia"/>
          <w:color w:val="000000"/>
          <w:sz w:val="21"/>
          <w:szCs w:val="21"/>
          <w:highlight w:val="none"/>
        </w:rPr>
        <w:t>认证的转换：一个已获认可的认证机构（接受机构），为了颁发自己的认证，而承认另一个已获认可的认证机构（颁证机构）颁发的现行有效的管理体系认证证书。</w:t>
      </w:r>
    </w:p>
    <w:p w14:paraId="6C095304">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注：上述定义不适于多重认证的情况。</w:t>
      </w:r>
    </w:p>
    <w:p w14:paraId="0D5C7D10">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4.2</w:t>
      </w:r>
      <w:r>
        <w:rPr>
          <w:rFonts w:hint="eastAsia" w:asciiTheme="minorEastAsia" w:hAnsiTheme="minorEastAsia" w:eastAsiaTheme="minorEastAsia" w:cstheme="minorEastAsia"/>
          <w:color w:val="000000"/>
          <w:sz w:val="21"/>
          <w:szCs w:val="21"/>
          <w:highlight w:val="none"/>
        </w:rPr>
        <w:t>转机构备案：由认证机构发放的证书，应当由该机构负责该证书的监督，其它机构原则上不对该证书进行受理（该受理适用于按初审或证书转换）。获证组织确需在证书有效期内转换认证机构的，应由转入机构向协会备案通过。具体可参见“认证认可协会</w:t>
      </w:r>
      <w:r>
        <w:rPr>
          <w:rFonts w:hint="eastAsia" w:asciiTheme="minorEastAsia" w:hAnsiTheme="minorEastAsia" w:eastAsiaTheme="minorEastAsia" w:cstheme="minorEastAsia"/>
          <w:color w:val="000000"/>
          <w:sz w:val="21"/>
          <w:szCs w:val="21"/>
          <w:highlight w:val="none"/>
          <w:lang w:val="en-US" w:bidi="en-US"/>
        </w:rPr>
        <w:t>（CCAA</w:t>
      </w:r>
      <w:r>
        <w:rPr>
          <w:rFonts w:hint="eastAsia" w:asciiTheme="minorEastAsia" w:hAnsiTheme="minorEastAsia" w:eastAsiaTheme="minorEastAsia" w:cstheme="minorEastAsia"/>
          <w:color w:val="000000"/>
          <w:sz w:val="21"/>
          <w:szCs w:val="21"/>
          <w:highlight w:val="none"/>
        </w:rPr>
        <w:t>）发布的认证机构公平竞争规范——与认证证书有关的有违公平竞争行为约束”。</w:t>
      </w:r>
    </w:p>
    <w:p w14:paraId="6AAD07AD">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注：应区分转机构备案与证书转换的定义，转机构备案是证书转换前必须通过</w:t>
      </w:r>
      <w:r>
        <w:rPr>
          <w:rFonts w:hint="eastAsia" w:asciiTheme="minorEastAsia" w:hAnsiTheme="minorEastAsia" w:eastAsiaTheme="minorEastAsia" w:cstheme="minorEastAsia"/>
          <w:color w:val="000000"/>
          <w:sz w:val="21"/>
          <w:szCs w:val="21"/>
          <w:highlight w:val="none"/>
          <w:lang w:val="en-US" w:bidi="en-US"/>
        </w:rPr>
        <w:t>CCAA</w:t>
      </w:r>
      <w:r>
        <w:rPr>
          <w:rFonts w:hint="eastAsia" w:asciiTheme="minorEastAsia" w:hAnsiTheme="minorEastAsia" w:eastAsiaTheme="minorEastAsia" w:cstheme="minorEastAsia"/>
          <w:color w:val="000000"/>
          <w:sz w:val="21"/>
          <w:szCs w:val="21"/>
          <w:highlight w:val="none"/>
        </w:rPr>
        <w:t>审批的流程，通过转机构备案的企业可按照初审（不涉及证书转换）或在符合申请条件的前提下按照本文件的要求进行证书转换。</w:t>
      </w:r>
    </w:p>
    <w:p w14:paraId="0EA2EBA9">
      <w:pPr>
        <w:pStyle w:val="14"/>
        <w:shd w:val="clear" w:color="auto" w:fill="auto"/>
        <w:tabs>
          <w:tab w:val="left" w:pos="354"/>
        </w:tabs>
        <w:spacing w:beforeLines="50" w:after="120" w:line="360" w:lineRule="exact"/>
        <w:rPr>
          <w:rFonts w:asciiTheme="minorEastAsia" w:hAnsiTheme="minorEastAsia" w:eastAsiaTheme="minorEastAsia" w:cstheme="minorEastAsia"/>
          <w:b/>
          <w:bCs/>
          <w:color w:val="000000"/>
          <w:sz w:val="21"/>
          <w:szCs w:val="21"/>
          <w:highlight w:val="none"/>
          <w:lang w:val="en-US"/>
        </w:rPr>
      </w:pPr>
      <w:r>
        <w:rPr>
          <w:rFonts w:hint="eastAsia" w:asciiTheme="minorEastAsia" w:hAnsiTheme="minorEastAsia" w:eastAsiaTheme="minorEastAsia" w:cstheme="minorEastAsia"/>
          <w:b/>
          <w:bCs/>
          <w:color w:val="000000"/>
          <w:sz w:val="21"/>
          <w:szCs w:val="21"/>
          <w:highlight w:val="none"/>
          <w:lang w:val="en-US"/>
        </w:rPr>
        <w:t>5、</w:t>
      </w:r>
      <w:r>
        <w:rPr>
          <w:rFonts w:hint="eastAsia" w:asciiTheme="minorEastAsia" w:hAnsiTheme="minorEastAsia" w:eastAsiaTheme="minorEastAsia" w:cstheme="minorEastAsia"/>
          <w:b/>
          <w:bCs/>
          <w:color w:val="000000"/>
          <w:sz w:val="21"/>
          <w:szCs w:val="21"/>
          <w:highlight w:val="none"/>
          <w:lang w:val="en-US"/>
        </w:rPr>
        <w:tab/>
      </w:r>
      <w:r>
        <w:rPr>
          <w:rFonts w:hint="eastAsia" w:asciiTheme="minorEastAsia" w:hAnsiTheme="minorEastAsia" w:eastAsiaTheme="minorEastAsia" w:cstheme="minorEastAsia"/>
          <w:b/>
          <w:bCs/>
          <w:color w:val="000000"/>
          <w:sz w:val="21"/>
          <w:szCs w:val="21"/>
          <w:highlight w:val="none"/>
          <w:lang w:val="en-US"/>
        </w:rPr>
        <w:t>转换流程</w:t>
      </w:r>
    </w:p>
    <w:p w14:paraId="21776743">
      <w:pPr>
        <w:pStyle w:val="14"/>
        <w:shd w:val="clear" w:color="auto" w:fill="auto"/>
        <w:spacing w:line="400" w:lineRule="exact"/>
        <w:rPr>
          <w:rFonts w:hint="eastAsia"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5.1对于新的认证委托人，仅在同时满足下列情况的前提下，认证机构可实施认证转换，否则应按照初次认证开展认证活动：</w:t>
      </w:r>
    </w:p>
    <w:p w14:paraId="7560D47A">
      <w:pPr>
        <w:pStyle w:val="14"/>
        <w:shd w:val="clear" w:color="auto" w:fill="auto"/>
        <w:spacing w:line="400" w:lineRule="exact"/>
        <w:rPr>
          <w:rFonts w:hint="eastAsia"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（1）认证机构具有认证委托人申请认证的QMS认证范围的认可资格；</w:t>
      </w:r>
    </w:p>
    <w:p w14:paraId="13B3193D">
      <w:pPr>
        <w:pStyle w:val="14"/>
        <w:shd w:val="clear" w:color="auto" w:fill="auto"/>
        <w:spacing w:line="400" w:lineRule="exact"/>
        <w:rPr>
          <w:rFonts w:hint="eastAsia"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（2）认证委托人持有其他被认可的认证机构（原认证机构）颁发的带认可标识的QMS 认证证书（原认证证书）；</w:t>
      </w:r>
    </w:p>
    <w:p w14:paraId="32FDA6E4">
      <w:pPr>
        <w:pStyle w:val="14"/>
        <w:shd w:val="clear" w:color="auto" w:fill="auto"/>
        <w:spacing w:line="400" w:lineRule="exact"/>
        <w:rPr>
          <w:rFonts w:hint="eastAsia"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（3）原认证证书处于有效期内，未被原认证机构实施暂停或撤销；</w:t>
      </w:r>
    </w:p>
    <w:p w14:paraId="3DFA561C">
      <w:pPr>
        <w:pStyle w:val="14"/>
        <w:shd w:val="clear" w:color="auto" w:fill="auto"/>
        <w:spacing w:line="400" w:lineRule="exact"/>
        <w:rPr>
          <w:rFonts w:hint="eastAsia"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（4）原认证机构认证业务正常运行，不存在认可资格到期、被暂停或撤销的问题；</w:t>
      </w:r>
    </w:p>
    <w:p w14:paraId="5950EB4D">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（5）认证机构应获得认证委托人初次认证审核报告或最近一次的再认证审核报告、监督审核报告、审核中发现的不符合及其纠正措施。</w:t>
      </w:r>
    </w:p>
    <w:p w14:paraId="2576E34B">
      <w:pPr>
        <w:pStyle w:val="14"/>
        <w:shd w:val="clear" w:color="auto" w:fill="auto"/>
        <w:tabs>
          <w:tab w:val="left" w:pos="823"/>
        </w:tabs>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eastAsia="zh-CN" w:bidi="en-US"/>
        </w:rPr>
        <w:t>（6）</w:t>
      </w:r>
      <w:r>
        <w:rPr>
          <w:rFonts w:hint="eastAsia" w:asciiTheme="minorEastAsia" w:hAnsiTheme="minorEastAsia" w:eastAsiaTheme="minorEastAsia" w:cstheme="minorEastAsia"/>
          <w:color w:val="000000"/>
          <w:sz w:val="21"/>
          <w:szCs w:val="21"/>
          <w:highlight w:val="none"/>
          <w:lang w:val="en-US" w:bidi="en-US"/>
        </w:rPr>
        <w:t>申请认证证书转换的组织需要向中国认证认可协会提交转换申请并获得批准，</w:t>
      </w:r>
      <w:r>
        <w:rPr>
          <w:rFonts w:hint="eastAsia" w:asciiTheme="minorEastAsia" w:hAnsiTheme="minorEastAsia" w:eastAsiaTheme="minorEastAsia" w:cstheme="minorEastAsia"/>
          <w:color w:val="000000"/>
          <w:sz w:val="21"/>
          <w:szCs w:val="21"/>
          <w:highlight w:val="none"/>
        </w:rPr>
        <w:t>通过</w:t>
      </w:r>
      <w:r>
        <w:rPr>
          <w:rFonts w:hint="eastAsia" w:asciiTheme="minorEastAsia" w:hAnsiTheme="minorEastAsia" w:eastAsiaTheme="minorEastAsia" w:cstheme="minorEastAsia"/>
          <w:color w:val="000000"/>
          <w:sz w:val="21"/>
          <w:szCs w:val="21"/>
          <w:highlight w:val="none"/>
          <w:lang w:val="en-US" w:bidi="en-US"/>
        </w:rPr>
        <w:t>CCAA</w:t>
      </w:r>
      <w:r>
        <w:rPr>
          <w:rFonts w:hint="eastAsia" w:asciiTheme="minorEastAsia" w:hAnsiTheme="minorEastAsia" w:eastAsiaTheme="minorEastAsia" w:cstheme="minorEastAsia"/>
          <w:color w:val="000000"/>
          <w:sz w:val="21"/>
          <w:szCs w:val="21"/>
          <w:highlight w:val="none"/>
        </w:rPr>
        <w:t>转机构备案。</w:t>
      </w:r>
    </w:p>
    <w:p w14:paraId="5C9B7C08">
      <w:pPr>
        <w:pStyle w:val="14"/>
        <w:shd w:val="clear" w:color="auto" w:fill="auto"/>
        <w:spacing w:line="400" w:lineRule="exact"/>
        <w:rPr>
          <w:rFonts w:asciiTheme="minorEastAsia" w:hAnsiTheme="minorEastAsia" w:eastAsiaTheme="minorEastAsia" w:cstheme="minorEastAsia"/>
          <w:color w:val="000000"/>
          <w:sz w:val="21"/>
          <w:szCs w:val="21"/>
          <w:highlight w:val="none"/>
          <w:lang w:val="en-US" w:bidi="en-US"/>
        </w:rPr>
      </w:pPr>
      <w:r>
        <w:rPr>
          <w:rFonts w:hint="eastAsia" w:asciiTheme="minorEastAsia" w:hAnsiTheme="minorEastAsia" w:eastAsiaTheme="minorEastAsia" w:cstheme="minorEastAsia"/>
          <w:color w:val="000000"/>
          <w:sz w:val="21"/>
          <w:szCs w:val="21"/>
          <w:highlight w:val="none"/>
          <w:lang w:val="en-US" w:bidi="en-US"/>
        </w:rPr>
        <w:t>5.2市场部在接收到客户拟转换认证证书到我司时，应即时到</w:t>
      </w:r>
      <w:r>
        <w:rPr>
          <w:rFonts w:hint="eastAsia" w:asciiTheme="minorEastAsia" w:hAnsiTheme="minorEastAsia" w:eastAsiaTheme="minorEastAsia" w:cstheme="minorEastAsia"/>
          <w:color w:val="000000"/>
          <w:sz w:val="21"/>
          <w:szCs w:val="21"/>
          <w:highlight w:val="none"/>
        </w:rPr>
        <w:t xml:space="preserve"> “国家企业信用信息公示系统”</w:t>
      </w:r>
      <w:r>
        <w:rPr>
          <w:rFonts w:hint="eastAsia" w:asciiTheme="minorEastAsia" w:hAnsiTheme="minorEastAsia" w:eastAsiaTheme="minorEastAsia" w:cstheme="minorEastAsia"/>
          <w:color w:val="000000"/>
          <w:sz w:val="21"/>
          <w:szCs w:val="21"/>
          <w:highlight w:val="none"/>
          <w:lang w:val="en-US" w:bidi="en-US"/>
        </w:rPr>
        <w:t>查询拟转证企业是否</w:t>
      </w:r>
      <w:r>
        <w:rPr>
          <w:rFonts w:hint="eastAsia" w:asciiTheme="minorEastAsia" w:hAnsiTheme="minorEastAsia" w:eastAsiaTheme="minorEastAsia" w:cstheme="minorEastAsia"/>
          <w:color w:val="000000"/>
          <w:sz w:val="21"/>
          <w:szCs w:val="21"/>
          <w:highlight w:val="none"/>
        </w:rPr>
        <w:t>存在尚未解决的与管理体系运行相关的违法违规行为的情况，如果有，则不能接受证书转换申请，待相关问题解决后，再办理转换证书事宜。如果查询结果无异常，则</w:t>
      </w:r>
      <w:r>
        <w:rPr>
          <w:rFonts w:hint="eastAsia" w:asciiTheme="minorEastAsia" w:hAnsiTheme="minorEastAsia" w:eastAsiaTheme="minorEastAsia" w:cstheme="minorEastAsia"/>
          <w:color w:val="000000"/>
          <w:sz w:val="21"/>
          <w:szCs w:val="21"/>
          <w:highlight w:val="none"/>
          <w:lang w:val="en-US" w:bidi="en-US"/>
        </w:rPr>
        <w:t>告知认证证书转换申请方提</w:t>
      </w:r>
      <w:r>
        <w:rPr>
          <w:rFonts w:hint="eastAsia" w:asciiTheme="minorEastAsia" w:hAnsiTheme="minorEastAsia" w:eastAsiaTheme="minorEastAsia" w:cstheme="minorEastAsia"/>
          <w:color w:val="000000"/>
          <w:sz w:val="21"/>
          <w:szCs w:val="21"/>
          <w:highlight w:val="none"/>
        </w:rPr>
        <w:t>交如下所需资料，收集齐全后提交给认证部。</w:t>
      </w:r>
    </w:p>
    <w:p w14:paraId="0DE534F9">
      <w:pPr>
        <w:pStyle w:val="14"/>
        <w:numPr>
          <w:ilvl w:val="0"/>
          <w:numId w:val="1"/>
        </w:numPr>
        <w:shd w:val="clear" w:color="auto" w:fill="auto"/>
        <w:tabs>
          <w:tab w:val="left" w:pos="799"/>
        </w:tabs>
        <w:spacing w:line="400" w:lineRule="exact"/>
        <w:ind w:firstLine="460"/>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转换备案申请书；</w:t>
      </w:r>
    </w:p>
    <w:p w14:paraId="73484E68">
      <w:pPr>
        <w:pStyle w:val="14"/>
        <w:numPr>
          <w:ilvl w:val="0"/>
          <w:numId w:val="1"/>
        </w:numPr>
        <w:shd w:val="clear" w:color="auto" w:fill="auto"/>
        <w:tabs>
          <w:tab w:val="left" w:pos="799"/>
        </w:tabs>
        <w:spacing w:line="400" w:lineRule="exact"/>
        <w:ind w:firstLine="460"/>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原认证机构颁发的最近的初审/再认证认证证书及最近一次监督审核的认证证书（有效期内）；</w:t>
      </w:r>
    </w:p>
    <w:p w14:paraId="23CC3568">
      <w:pPr>
        <w:pStyle w:val="14"/>
        <w:numPr>
          <w:ilvl w:val="0"/>
          <w:numId w:val="1"/>
        </w:numPr>
        <w:shd w:val="clear" w:color="auto" w:fill="auto"/>
        <w:tabs>
          <w:tab w:val="left" w:pos="738"/>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初次认证或最近的再认证审核报告（含不符合及整改资料）及最近的监督审核报告（含不符合及整改资料），以及以上审核中发现的但尚未关闭的不符合；</w:t>
      </w:r>
    </w:p>
    <w:p w14:paraId="5C55D81E">
      <w:pPr>
        <w:pStyle w:val="14"/>
        <w:numPr>
          <w:ilvl w:val="0"/>
          <w:numId w:val="1"/>
        </w:numPr>
        <w:shd w:val="clear" w:color="auto" w:fill="auto"/>
        <w:tabs>
          <w:tab w:val="left" w:pos="794"/>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收到的投诉及采取的措施情况，如存在投诉情况，需提交相关投诉处理的文件及证据；</w:t>
      </w:r>
    </w:p>
    <w:p w14:paraId="2FF959B0">
      <w:pPr>
        <w:pStyle w:val="14"/>
        <w:numPr>
          <w:ilvl w:val="0"/>
          <w:numId w:val="1"/>
        </w:numPr>
        <w:shd w:val="clear" w:color="auto" w:fill="auto"/>
        <w:tabs>
          <w:tab w:val="left" w:pos="794"/>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按照</w:t>
      </w:r>
      <w:r>
        <w:rPr>
          <w:rFonts w:hint="eastAsia" w:asciiTheme="minorEastAsia" w:hAnsiTheme="minorEastAsia" w:eastAsiaTheme="minorEastAsia" w:cstheme="minorEastAsia"/>
          <w:color w:val="000000"/>
          <w:sz w:val="21"/>
          <w:szCs w:val="21"/>
          <w:highlight w:val="none"/>
          <w:lang w:val="en-US" w:eastAsia="zh-CN" w:bidi="en-US"/>
        </w:rPr>
        <w:t>《认证</w:t>
      </w:r>
      <w:r>
        <w:rPr>
          <w:rFonts w:hint="eastAsia" w:asciiTheme="minorEastAsia" w:hAnsiTheme="minorEastAsia" w:eastAsiaTheme="minorEastAsia" w:cstheme="minorEastAsia"/>
          <w:color w:val="000000"/>
          <w:sz w:val="21"/>
          <w:szCs w:val="21"/>
          <w:highlight w:val="none"/>
        </w:rPr>
        <w:t>申请评审程序</w:t>
      </w:r>
      <w:r>
        <w:rPr>
          <w:rFonts w:hint="eastAsia" w:asciiTheme="minorEastAsia" w:hAnsiTheme="minorEastAsia" w:eastAsiaTheme="minorEastAsia" w:cstheme="minorEastAsia"/>
          <w:color w:val="000000"/>
          <w:sz w:val="21"/>
          <w:szCs w:val="21"/>
          <w:highlight w:val="none"/>
          <w:lang w:val="en-US" w:eastAsia="zh-CN" w:bidi="en-US"/>
        </w:rPr>
        <w:t>》</w:t>
      </w:r>
      <w:r>
        <w:rPr>
          <w:rFonts w:hint="eastAsia" w:asciiTheme="minorEastAsia" w:hAnsiTheme="minorEastAsia" w:eastAsiaTheme="minorEastAsia" w:cstheme="minorEastAsia"/>
          <w:color w:val="000000"/>
          <w:sz w:val="21"/>
          <w:szCs w:val="21"/>
          <w:highlight w:val="none"/>
        </w:rPr>
        <w:t>5.3.1-5.3.3相关要求收集企业其他有关申请资料；</w:t>
      </w:r>
    </w:p>
    <w:p w14:paraId="7599C356">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5.3</w:t>
      </w:r>
      <w:r>
        <w:rPr>
          <w:rFonts w:hint="eastAsia" w:asciiTheme="minorEastAsia" w:hAnsiTheme="minorEastAsia" w:eastAsiaTheme="minorEastAsia" w:cstheme="minorEastAsia"/>
          <w:color w:val="000000"/>
          <w:sz w:val="21"/>
          <w:szCs w:val="21"/>
          <w:highlight w:val="none"/>
        </w:rPr>
        <w:t>转机构备案：认证部收到转换备案申请书后，上报</w:t>
      </w:r>
      <w:r>
        <w:rPr>
          <w:rFonts w:hint="eastAsia" w:asciiTheme="minorEastAsia" w:hAnsiTheme="minorEastAsia" w:eastAsiaTheme="minorEastAsia" w:cstheme="minorEastAsia"/>
          <w:color w:val="000000"/>
          <w:sz w:val="21"/>
          <w:szCs w:val="21"/>
          <w:highlight w:val="none"/>
          <w:lang w:val="en-US" w:bidi="en-US"/>
        </w:rPr>
        <w:t>CCAA</w:t>
      </w:r>
      <w:r>
        <w:rPr>
          <w:rFonts w:hint="eastAsia" w:asciiTheme="minorEastAsia" w:hAnsiTheme="minorEastAsia" w:eastAsiaTheme="minorEastAsia" w:cstheme="minorEastAsia"/>
          <w:color w:val="000000"/>
          <w:sz w:val="21"/>
          <w:szCs w:val="21"/>
          <w:highlight w:val="none"/>
          <w:lang w:val="en-GB" w:bidi="en-US"/>
        </w:rPr>
        <w:t>备案</w:t>
      </w:r>
      <w:r>
        <w:rPr>
          <w:rFonts w:hint="eastAsia" w:asciiTheme="minorEastAsia" w:hAnsiTheme="minorEastAsia" w:eastAsiaTheme="minorEastAsia" w:cstheme="minorEastAsia"/>
          <w:color w:val="000000"/>
          <w:sz w:val="21"/>
          <w:szCs w:val="21"/>
          <w:highlight w:val="none"/>
        </w:rPr>
        <w:t>审批，通过</w:t>
      </w:r>
      <w:r>
        <w:rPr>
          <w:rFonts w:hint="eastAsia" w:asciiTheme="minorEastAsia" w:hAnsiTheme="minorEastAsia" w:eastAsiaTheme="minorEastAsia" w:cstheme="minorEastAsia"/>
          <w:color w:val="000000"/>
          <w:sz w:val="21"/>
          <w:szCs w:val="21"/>
          <w:highlight w:val="none"/>
          <w:lang w:val="en-US" w:bidi="en-US"/>
        </w:rPr>
        <w:t>CCAA</w:t>
      </w:r>
      <w:r>
        <w:rPr>
          <w:rFonts w:hint="eastAsia" w:asciiTheme="minorEastAsia" w:hAnsiTheme="minorEastAsia" w:eastAsiaTheme="minorEastAsia" w:cstheme="minorEastAsia"/>
          <w:color w:val="000000"/>
          <w:sz w:val="21"/>
          <w:szCs w:val="21"/>
          <w:highlight w:val="none"/>
        </w:rPr>
        <w:t>转证批准后，由市场部与客户签署认证合同，实施后续评审流程，如未获得CCAA转换认证机构的备案批准，则通知市场部反馈客户CCAA审批结果，不受理转证。</w:t>
      </w:r>
    </w:p>
    <w:p w14:paraId="452D7D13">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5.3.1转换认证证书满足适用范围第3.2情况的，</w:t>
      </w:r>
      <w:r>
        <w:rPr>
          <w:rFonts w:hint="eastAsia" w:asciiTheme="minorEastAsia" w:hAnsiTheme="minorEastAsia" w:eastAsiaTheme="minorEastAsia" w:cstheme="minorEastAsia"/>
          <w:color w:val="000000"/>
          <w:sz w:val="21"/>
          <w:szCs w:val="21"/>
          <w:highlight w:val="none"/>
        </w:rPr>
        <w:t>需按初次认证受情况受理，不涉及证书转换，在</w:t>
      </w:r>
      <w:r>
        <w:rPr>
          <w:rFonts w:hint="eastAsia" w:asciiTheme="minorEastAsia" w:hAnsiTheme="minorEastAsia" w:eastAsiaTheme="minorEastAsia" w:cstheme="minorEastAsia"/>
          <w:color w:val="000000"/>
          <w:sz w:val="21"/>
          <w:szCs w:val="21"/>
          <w:highlight w:val="none"/>
          <w:lang w:val="en-US" w:bidi="en-US"/>
        </w:rPr>
        <w:t>CCAA批准转换后</w:t>
      </w:r>
      <w:r>
        <w:rPr>
          <w:rFonts w:hint="eastAsia" w:asciiTheme="minorEastAsia" w:hAnsiTheme="minorEastAsia" w:eastAsiaTheme="minorEastAsia" w:cstheme="minorEastAsia"/>
          <w:color w:val="000000"/>
          <w:sz w:val="21"/>
          <w:szCs w:val="21"/>
          <w:highlight w:val="none"/>
        </w:rPr>
        <w:t>按</w:t>
      </w:r>
      <w:r>
        <w:rPr>
          <w:rFonts w:hint="eastAsia" w:asciiTheme="minorEastAsia" w:hAnsiTheme="minorEastAsia" w:eastAsiaTheme="minorEastAsia" w:cstheme="minorEastAsia"/>
          <w:color w:val="000000"/>
          <w:sz w:val="21"/>
          <w:szCs w:val="21"/>
          <w:highlight w:val="none"/>
          <w:lang w:val="en-US" w:eastAsia="zh-CN" w:bidi="en-US"/>
        </w:rPr>
        <w:t>《认证</w:t>
      </w:r>
      <w:r>
        <w:rPr>
          <w:rFonts w:hint="eastAsia" w:asciiTheme="minorEastAsia" w:hAnsiTheme="minorEastAsia" w:eastAsiaTheme="minorEastAsia" w:cstheme="minorEastAsia"/>
          <w:color w:val="000000"/>
          <w:sz w:val="21"/>
          <w:szCs w:val="21"/>
          <w:highlight w:val="none"/>
        </w:rPr>
        <w:t>申请评审程序</w:t>
      </w:r>
      <w:r>
        <w:rPr>
          <w:rFonts w:hint="eastAsia" w:asciiTheme="minorEastAsia" w:hAnsiTheme="minorEastAsia" w:eastAsiaTheme="minorEastAsia" w:cstheme="minorEastAsia"/>
          <w:color w:val="000000"/>
          <w:sz w:val="21"/>
          <w:szCs w:val="21"/>
          <w:highlight w:val="none"/>
          <w:lang w:val="en-US" w:eastAsia="zh-CN" w:bidi="en-US"/>
        </w:rPr>
        <w:t>》</w:t>
      </w:r>
      <w:r>
        <w:rPr>
          <w:rFonts w:hint="eastAsia" w:asciiTheme="minorEastAsia" w:hAnsiTheme="minorEastAsia" w:eastAsiaTheme="minorEastAsia" w:cstheme="minorEastAsia"/>
          <w:color w:val="000000"/>
          <w:sz w:val="21"/>
          <w:szCs w:val="21"/>
          <w:highlight w:val="none"/>
        </w:rPr>
        <w:t>按初审受理；</w:t>
      </w:r>
    </w:p>
    <w:p w14:paraId="39ADF821">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5.3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2</w:t>
      </w:r>
      <w:r>
        <w:rPr>
          <w:rFonts w:hint="eastAsia" w:asciiTheme="minorEastAsia" w:hAnsiTheme="minorEastAsia" w:eastAsiaTheme="minorEastAsia" w:cstheme="minorEastAsia"/>
          <w:color w:val="000000"/>
          <w:sz w:val="21"/>
          <w:szCs w:val="21"/>
          <w:highlight w:val="none"/>
          <w:lang w:val="en-US" w:bidi="en-US"/>
        </w:rPr>
        <w:t>转换认证证书满足适用范围第3.1情况的，可按照认证</w:t>
      </w:r>
      <w:r>
        <w:rPr>
          <w:rFonts w:hint="eastAsia" w:asciiTheme="minorEastAsia" w:hAnsiTheme="minorEastAsia" w:eastAsiaTheme="minorEastAsia" w:cstheme="minorEastAsia"/>
          <w:color w:val="000000"/>
          <w:sz w:val="21"/>
          <w:szCs w:val="21"/>
          <w:highlight w:val="none"/>
        </w:rPr>
        <w:t>证书转换流程处理，在获得</w:t>
      </w:r>
      <w:r>
        <w:rPr>
          <w:rFonts w:hint="eastAsia" w:asciiTheme="minorEastAsia" w:hAnsiTheme="minorEastAsia" w:eastAsiaTheme="minorEastAsia" w:cstheme="minorEastAsia"/>
          <w:color w:val="000000"/>
          <w:sz w:val="21"/>
          <w:szCs w:val="21"/>
          <w:highlight w:val="none"/>
          <w:lang w:val="en-US" w:bidi="en-US"/>
        </w:rPr>
        <w:t>CCAA转换批准</w:t>
      </w:r>
      <w:r>
        <w:rPr>
          <w:rFonts w:hint="eastAsia" w:asciiTheme="minorEastAsia" w:hAnsiTheme="minorEastAsia" w:eastAsiaTheme="minorEastAsia" w:cstheme="minorEastAsia"/>
          <w:color w:val="000000"/>
          <w:sz w:val="21"/>
          <w:szCs w:val="21"/>
          <w:highlight w:val="none"/>
        </w:rPr>
        <w:t>后，按照本文件</w:t>
      </w:r>
      <w:r>
        <w:rPr>
          <w:rFonts w:hint="eastAsia" w:asciiTheme="minorEastAsia" w:hAnsiTheme="minorEastAsia" w:eastAsiaTheme="minorEastAsia" w:cstheme="minorEastAsia"/>
          <w:color w:val="000000"/>
          <w:sz w:val="21"/>
          <w:szCs w:val="21"/>
          <w:highlight w:val="none"/>
          <w:lang w:val="en-US" w:bidi="en-US"/>
        </w:rPr>
        <w:t>5.4</w:t>
      </w:r>
      <w:r>
        <w:rPr>
          <w:rFonts w:hint="eastAsia" w:asciiTheme="minorEastAsia" w:hAnsiTheme="minorEastAsia" w:eastAsiaTheme="minorEastAsia" w:cstheme="minorEastAsia"/>
          <w:color w:val="000000"/>
          <w:sz w:val="21"/>
          <w:szCs w:val="21"/>
          <w:highlight w:val="none"/>
        </w:rPr>
        <w:t>实施证书转换评审，如不符合转换条件的情况，与申请方沟通一致的前提下，按照初审实施评审；</w:t>
      </w:r>
    </w:p>
    <w:p w14:paraId="6C4B10DA">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5.3.3</w:t>
      </w:r>
      <w:r>
        <w:rPr>
          <w:rFonts w:hint="eastAsia" w:asciiTheme="minorEastAsia" w:hAnsiTheme="minorEastAsia" w:eastAsiaTheme="minorEastAsia" w:cstheme="minorEastAsia"/>
          <w:color w:val="000000"/>
          <w:sz w:val="21"/>
          <w:szCs w:val="21"/>
          <w:highlight w:val="none"/>
        </w:rPr>
        <w:t>未通过</w:t>
      </w:r>
      <w:r>
        <w:rPr>
          <w:rFonts w:hint="eastAsia" w:asciiTheme="minorEastAsia" w:hAnsiTheme="minorEastAsia" w:eastAsiaTheme="minorEastAsia" w:cstheme="minorEastAsia"/>
          <w:color w:val="000000"/>
          <w:sz w:val="21"/>
          <w:szCs w:val="21"/>
          <w:highlight w:val="none"/>
          <w:lang w:val="en-US" w:bidi="en-US"/>
        </w:rPr>
        <w:t>CCAA</w:t>
      </w:r>
      <w:r>
        <w:rPr>
          <w:rFonts w:hint="eastAsia" w:asciiTheme="minorEastAsia" w:hAnsiTheme="minorEastAsia" w:eastAsiaTheme="minorEastAsia" w:cstheme="minorEastAsia"/>
          <w:color w:val="000000"/>
          <w:sz w:val="21"/>
          <w:szCs w:val="21"/>
          <w:highlight w:val="none"/>
        </w:rPr>
        <w:t>认证证书转换备案的情况，不得受理转换认证机构申请；</w:t>
      </w:r>
    </w:p>
    <w:p w14:paraId="15CE5688">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4多重认证（即同一管理体系同时被一个以上的认证机构所认证）的情况，不接受证书转换申请，执行本文件5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1要求。</w:t>
      </w:r>
    </w:p>
    <w:p w14:paraId="76058509">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5.4</w:t>
      </w:r>
      <w:r>
        <w:rPr>
          <w:rFonts w:hint="eastAsia" w:asciiTheme="minorEastAsia" w:hAnsiTheme="minorEastAsia" w:eastAsiaTheme="minorEastAsia" w:cstheme="minorEastAsia"/>
          <w:color w:val="000000"/>
          <w:sz w:val="21"/>
          <w:szCs w:val="21"/>
          <w:highlight w:val="none"/>
        </w:rPr>
        <w:t>转换前的评审</w:t>
      </w:r>
    </w:p>
    <w:p w14:paraId="59738022">
      <w:pPr>
        <w:pStyle w:val="14"/>
        <w:shd w:val="clear" w:color="auto" w:fill="auto"/>
        <w:spacing w:line="400" w:lineRule="exact"/>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4</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1确认原发证机构的状态：</w:t>
      </w:r>
    </w:p>
    <w:p w14:paraId="04E8D7B4">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已被</w:t>
      </w:r>
      <w:r>
        <w:rPr>
          <w:rFonts w:hint="eastAsia" w:asciiTheme="minorEastAsia" w:hAnsiTheme="minorEastAsia" w:eastAsiaTheme="minorEastAsia" w:cstheme="minorEastAsia"/>
          <w:color w:val="000000"/>
          <w:sz w:val="21"/>
          <w:szCs w:val="21"/>
          <w:highlight w:val="none"/>
          <w:lang w:val="en-US" w:bidi="en-US"/>
        </w:rPr>
        <w:t>CNCA</w:t>
      </w:r>
      <w:r>
        <w:rPr>
          <w:rFonts w:hint="eastAsia" w:asciiTheme="minorEastAsia" w:hAnsiTheme="minorEastAsia" w:eastAsiaTheme="minorEastAsia" w:cstheme="minorEastAsia"/>
          <w:color w:val="000000"/>
          <w:sz w:val="21"/>
          <w:szCs w:val="21"/>
          <w:highlight w:val="none"/>
        </w:rPr>
        <w:t>注销</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撤销</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正在接受处罚中的机构、被</w:t>
      </w:r>
      <w:r>
        <w:rPr>
          <w:rFonts w:hint="eastAsia" w:asciiTheme="minorEastAsia" w:hAnsiTheme="minorEastAsia" w:eastAsiaTheme="minorEastAsia" w:cstheme="minorEastAsia"/>
          <w:color w:val="000000"/>
          <w:sz w:val="21"/>
          <w:szCs w:val="21"/>
          <w:highlight w:val="none"/>
          <w:lang w:val="en-US" w:bidi="en-US"/>
        </w:rPr>
        <w:t>CNAS</w:t>
      </w:r>
      <w:r>
        <w:rPr>
          <w:rFonts w:hint="eastAsia" w:asciiTheme="minorEastAsia" w:hAnsiTheme="minorEastAsia" w:eastAsiaTheme="minorEastAsia" w:cstheme="minorEastAsia"/>
          <w:color w:val="000000"/>
          <w:sz w:val="21"/>
          <w:szCs w:val="21"/>
          <w:highlight w:val="none"/>
        </w:rPr>
        <w:t>暂停认可资格中的机构颁发的证书，不能接受证书转换申请，执行本文件5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1要求；</w:t>
      </w:r>
    </w:p>
    <w:p w14:paraId="1B74464D">
      <w:pPr>
        <w:pStyle w:val="14"/>
        <w:shd w:val="clear" w:color="auto" w:fill="auto"/>
        <w:spacing w:line="400" w:lineRule="exact"/>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5.4.2</w:t>
      </w:r>
      <w:r>
        <w:rPr>
          <w:rFonts w:hint="eastAsia" w:asciiTheme="minorEastAsia" w:hAnsiTheme="minorEastAsia" w:eastAsiaTheme="minorEastAsia" w:cstheme="minorEastAsia"/>
          <w:color w:val="000000"/>
          <w:sz w:val="21"/>
          <w:szCs w:val="21"/>
          <w:highlight w:val="none"/>
        </w:rPr>
        <w:t>确认证书目前状态：</w:t>
      </w:r>
    </w:p>
    <w:p w14:paraId="3A235E48">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证书是否满足本文件</w:t>
      </w:r>
      <w:r>
        <w:rPr>
          <w:rFonts w:hint="eastAsia" w:asciiTheme="minorEastAsia" w:hAnsiTheme="minorEastAsia" w:eastAsiaTheme="minorEastAsia" w:cstheme="minorEastAsia"/>
          <w:color w:val="000000"/>
          <w:sz w:val="21"/>
          <w:szCs w:val="21"/>
          <w:highlight w:val="none"/>
          <w:lang w:val="en-US" w:bidi="en-US"/>
        </w:rPr>
        <w:t>5.1</w:t>
      </w:r>
      <w:r>
        <w:rPr>
          <w:rFonts w:hint="eastAsia" w:asciiTheme="minorEastAsia" w:hAnsiTheme="minorEastAsia" w:eastAsiaTheme="minorEastAsia" w:cstheme="minorEastAsia"/>
          <w:color w:val="000000"/>
          <w:sz w:val="21"/>
          <w:szCs w:val="21"/>
          <w:highlight w:val="none"/>
        </w:rPr>
        <w:t>要求，是否带有</w:t>
      </w:r>
      <w:r>
        <w:rPr>
          <w:rFonts w:hint="eastAsia" w:asciiTheme="minorEastAsia" w:hAnsiTheme="minorEastAsia" w:eastAsiaTheme="minorEastAsia" w:cstheme="minorEastAsia"/>
          <w:color w:val="000000"/>
          <w:sz w:val="21"/>
          <w:szCs w:val="21"/>
          <w:highlight w:val="none"/>
          <w:lang w:val="en-US" w:bidi="en-US"/>
        </w:rPr>
        <w:t>IAF</w:t>
      </w:r>
      <w:r>
        <w:rPr>
          <w:rFonts w:hint="eastAsia" w:asciiTheme="minorEastAsia" w:hAnsiTheme="minorEastAsia" w:eastAsiaTheme="minorEastAsia" w:cstheme="minorEastAsia"/>
          <w:color w:val="000000"/>
          <w:sz w:val="21"/>
          <w:szCs w:val="21"/>
          <w:highlight w:val="none"/>
        </w:rPr>
        <w:t>标志，已被暂停或正在接受暂停处理中的情况，不能接受证书转换申请，执行本文件5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1要求；</w:t>
      </w:r>
    </w:p>
    <w:p w14:paraId="54A90B46">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注：初评时应关注证书所处的周期，关注下一次需监督审核的时间，关注证书所处的时间是否能够保证原证书在有效期内被转换，保持证书有效性，应避免在转换流程进行中，因转换证书处理过程时间不充足，造成原证书被暂停。</w:t>
      </w:r>
    </w:p>
    <w:p w14:paraId="78626DA9">
      <w:pPr>
        <w:pStyle w:val="14"/>
        <w:shd w:val="clear" w:color="auto" w:fill="auto"/>
        <w:spacing w:line="400" w:lineRule="exact"/>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5.4.3</w:t>
      </w:r>
      <w:r>
        <w:rPr>
          <w:rFonts w:hint="eastAsia" w:asciiTheme="minorEastAsia" w:hAnsiTheme="minorEastAsia" w:eastAsiaTheme="minorEastAsia" w:cstheme="minorEastAsia"/>
          <w:color w:val="000000"/>
          <w:sz w:val="21"/>
          <w:szCs w:val="21"/>
          <w:highlight w:val="none"/>
        </w:rPr>
        <w:t>确认企业合规性：</w:t>
      </w:r>
    </w:p>
    <w:p w14:paraId="759095CA">
      <w:pPr>
        <w:pStyle w:val="14"/>
        <w:numPr>
          <w:ilvl w:val="0"/>
          <w:numId w:val="2"/>
        </w:numPr>
        <w:shd w:val="clear" w:color="auto" w:fill="auto"/>
        <w:tabs>
          <w:tab w:val="left" w:pos="794"/>
        </w:tabs>
        <w:spacing w:line="400" w:lineRule="exact"/>
        <w:ind w:firstLine="460"/>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登陆“国家企业信用信息公示系统”查询评审企业的信用信息情况，确认企业存在尚未解决的与管理体系运行相关的违法违规行为的情况并截图保留，做为评审记录之一。如果查询结果异常，即存在违法违规行为或相关未尽情况，则不能接受证书转换申请，待相关问题解决后，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2要求；</w:t>
      </w:r>
    </w:p>
    <w:p w14:paraId="0DE314F4">
      <w:pPr>
        <w:pStyle w:val="14"/>
        <w:numPr>
          <w:ilvl w:val="0"/>
          <w:numId w:val="2"/>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是否按照本文件</w:t>
      </w:r>
      <w:r>
        <w:rPr>
          <w:rFonts w:hint="eastAsia" w:asciiTheme="minorEastAsia" w:hAnsiTheme="minorEastAsia" w:eastAsiaTheme="minorEastAsia" w:cstheme="minorEastAsia"/>
          <w:color w:val="000000"/>
          <w:sz w:val="21"/>
          <w:szCs w:val="21"/>
          <w:highlight w:val="none"/>
          <w:lang w:val="en-US" w:bidi="en-US"/>
        </w:rPr>
        <w:t>5.2</w:t>
      </w:r>
      <w:r>
        <w:rPr>
          <w:rFonts w:hint="eastAsia" w:asciiTheme="minorEastAsia" w:hAnsiTheme="minorEastAsia" w:eastAsiaTheme="minorEastAsia" w:cstheme="minorEastAsia"/>
          <w:color w:val="000000"/>
          <w:sz w:val="21"/>
          <w:szCs w:val="21"/>
          <w:highlight w:val="none"/>
        </w:rPr>
        <w:t>的要求提交了转换申请资料，并对转换申请资料进行评审：</w:t>
      </w:r>
    </w:p>
    <w:p w14:paraId="72DE6D10">
      <w:pPr>
        <w:pStyle w:val="14"/>
        <w:numPr>
          <w:ilvl w:val="1"/>
          <w:numId w:val="3"/>
        </w:numPr>
        <w:shd w:val="clear" w:color="auto" w:fill="auto"/>
        <w:tabs>
          <w:tab w:val="left" w:pos="794"/>
        </w:tabs>
        <w:spacing w:line="400" w:lineRule="exact"/>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转换评审</w:t>
      </w:r>
    </w:p>
    <w:p w14:paraId="68034045">
      <w:pPr>
        <w:pStyle w:val="14"/>
        <w:shd w:val="clear" w:color="auto" w:fill="auto"/>
        <w:tabs>
          <w:tab w:val="left" w:pos="794"/>
        </w:tabs>
        <w:spacing w:line="400" w:lineRule="exact"/>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5.5.1依据</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lang w:val="en-US" w:eastAsia="zh-CN"/>
        </w:rPr>
        <w:t>认证</w:t>
      </w:r>
      <w:r>
        <w:rPr>
          <w:rFonts w:hint="eastAsia" w:asciiTheme="minorEastAsia" w:hAnsiTheme="minorEastAsia" w:eastAsiaTheme="minorEastAsia" w:cstheme="minorEastAsia"/>
          <w:color w:val="000000"/>
          <w:sz w:val="21"/>
          <w:szCs w:val="21"/>
          <w:highlight w:val="none"/>
        </w:rPr>
        <w:t>申请评审程序》</w:t>
      </w:r>
      <w:r>
        <w:rPr>
          <w:rFonts w:hint="eastAsia" w:asciiTheme="minorEastAsia" w:hAnsiTheme="minorEastAsia" w:eastAsiaTheme="minorEastAsia" w:cstheme="minorEastAsia"/>
          <w:color w:val="000000"/>
          <w:sz w:val="21"/>
          <w:szCs w:val="21"/>
          <w:highlight w:val="none"/>
          <w:lang w:val="en-US"/>
        </w:rPr>
        <w:t>6.8</w:t>
      </w:r>
      <w:r>
        <w:rPr>
          <w:rFonts w:hint="eastAsia" w:asciiTheme="minorEastAsia" w:hAnsiTheme="minorEastAsia" w:eastAsiaTheme="minorEastAsia" w:cstheme="minorEastAsia"/>
          <w:color w:val="000000"/>
          <w:sz w:val="21"/>
          <w:szCs w:val="21"/>
          <w:highlight w:val="none"/>
        </w:rPr>
        <w:t>条款，评审企业的认证范围，确认认证范围存在超出营业执照范围和/或超出前置许可资质的情况，不能接受证书转换申请，需与企业沟通认证范围相关事宜，执行本文件5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1要求；</w:t>
      </w:r>
    </w:p>
    <w:p w14:paraId="60E06368">
      <w:pPr>
        <w:pStyle w:val="14"/>
        <w:shd w:val="clear" w:color="auto" w:fill="auto"/>
        <w:tabs>
          <w:tab w:val="left" w:pos="794"/>
        </w:tabs>
        <w:spacing w:line="400" w:lineRule="exact"/>
        <w:jc w:val="both"/>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5.5.2</w:t>
      </w:r>
      <w:r>
        <w:rPr>
          <w:rFonts w:hint="eastAsia" w:asciiTheme="minorEastAsia" w:hAnsiTheme="minorEastAsia" w:eastAsiaTheme="minorEastAsia" w:cstheme="minorEastAsia"/>
          <w:color w:val="000000"/>
          <w:sz w:val="21"/>
          <w:szCs w:val="21"/>
          <w:highlight w:val="none"/>
        </w:rPr>
        <w:t>申请方不能按照本文件</w:t>
      </w:r>
      <w:r>
        <w:rPr>
          <w:rFonts w:hint="eastAsia" w:asciiTheme="minorEastAsia" w:hAnsiTheme="minorEastAsia" w:eastAsiaTheme="minorEastAsia" w:cstheme="minorEastAsia"/>
          <w:color w:val="000000"/>
          <w:sz w:val="21"/>
          <w:szCs w:val="21"/>
          <w:highlight w:val="none"/>
          <w:lang w:val="en-US"/>
        </w:rPr>
        <w:t>5.2</w:t>
      </w:r>
      <w:r>
        <w:rPr>
          <w:rFonts w:hint="eastAsia" w:asciiTheme="minorEastAsia" w:hAnsiTheme="minorEastAsia" w:eastAsiaTheme="minorEastAsia" w:cstheme="minorEastAsia"/>
          <w:color w:val="000000"/>
          <w:sz w:val="21"/>
          <w:szCs w:val="21"/>
          <w:highlight w:val="none"/>
        </w:rPr>
        <w:t>条款提交申请转换资料时，不能接受证书转换申请，执行本文件</w:t>
      </w:r>
      <w:r>
        <w:rPr>
          <w:rFonts w:hint="eastAsia" w:asciiTheme="minorEastAsia" w:hAnsiTheme="minorEastAsia" w:eastAsiaTheme="minorEastAsia" w:cstheme="minorEastAsia"/>
          <w:color w:val="000000"/>
          <w:sz w:val="21"/>
          <w:szCs w:val="21"/>
          <w:highlight w:val="none"/>
          <w:lang w:val="en-US"/>
        </w:rPr>
        <w:t>5 3.1</w:t>
      </w:r>
      <w:r>
        <w:rPr>
          <w:rFonts w:hint="eastAsia" w:asciiTheme="minorEastAsia" w:hAnsiTheme="minorEastAsia" w:eastAsiaTheme="minorEastAsia" w:cstheme="minorEastAsia"/>
          <w:color w:val="000000"/>
          <w:sz w:val="21"/>
          <w:szCs w:val="21"/>
          <w:highlight w:val="none"/>
        </w:rPr>
        <w:t>要求；</w:t>
      </w:r>
    </w:p>
    <w:p w14:paraId="7D31DA33">
      <w:pPr>
        <w:pStyle w:val="14"/>
        <w:numPr>
          <w:ilvl w:val="2"/>
          <w:numId w:val="4"/>
        </w:numPr>
        <w:shd w:val="clear" w:color="auto" w:fill="auto"/>
        <w:tabs>
          <w:tab w:val="left" w:pos="794"/>
        </w:tabs>
        <w:spacing w:line="400" w:lineRule="exact"/>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申请资料</w:t>
      </w:r>
      <w:r>
        <w:rPr>
          <w:rFonts w:hint="eastAsia" w:asciiTheme="minorEastAsia" w:hAnsiTheme="minorEastAsia" w:eastAsiaTheme="minorEastAsia" w:cstheme="minorEastAsia"/>
          <w:color w:val="000000"/>
          <w:sz w:val="21"/>
          <w:szCs w:val="21"/>
          <w:highlight w:val="none"/>
          <w:lang w:val="en-US"/>
        </w:rPr>
        <w:t>5.2</w:t>
      </w:r>
      <w:r>
        <w:rPr>
          <w:rFonts w:hint="eastAsia" w:asciiTheme="minorEastAsia" w:hAnsiTheme="minorEastAsia" w:eastAsiaTheme="minorEastAsia" w:cstheme="minorEastAsia"/>
          <w:color w:val="000000"/>
          <w:sz w:val="21"/>
          <w:szCs w:val="21"/>
          <w:highlight w:val="none"/>
          <w:lang w:val="en-US" w:bidi="en-US"/>
        </w:rPr>
        <w:t>g</w:t>
      </w:r>
      <w:r>
        <w:rPr>
          <w:rFonts w:hint="eastAsia" w:asciiTheme="minorEastAsia" w:hAnsiTheme="minorEastAsia" w:eastAsiaTheme="minorEastAsia" w:cstheme="minorEastAsia"/>
          <w:color w:val="000000"/>
          <w:sz w:val="21"/>
          <w:szCs w:val="21"/>
          <w:highlight w:val="none"/>
        </w:rPr>
        <w:t>中存在严重不符合的情况，不能接受证书转换申请，执行本文件5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2要求.</w:t>
      </w:r>
    </w:p>
    <w:p w14:paraId="26798F38">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5.5.4</w:t>
      </w:r>
      <w:r>
        <w:rPr>
          <w:rFonts w:hint="eastAsia" w:asciiTheme="minorEastAsia" w:hAnsiTheme="minorEastAsia" w:eastAsiaTheme="minorEastAsia" w:cstheme="minorEastAsia"/>
          <w:color w:val="000000"/>
          <w:sz w:val="21"/>
          <w:szCs w:val="21"/>
          <w:highlight w:val="none"/>
        </w:rPr>
        <w:t>确认转换申请书中企业是否提出涉及证书重大变更的情况,常见的不接受证书转换的重大变更包括：</w:t>
      </w:r>
    </w:p>
    <w:p w14:paraId="1CBE4A83">
      <w:pPr>
        <w:pStyle w:val="14"/>
        <w:numPr>
          <w:ilvl w:val="0"/>
          <w:numId w:val="5"/>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原认证范围产品/服务已停产或申请扩大管理体系范围的情况；</w:t>
      </w:r>
    </w:p>
    <w:p w14:paraId="05F95EB0">
      <w:pPr>
        <w:pStyle w:val="14"/>
        <w:numPr>
          <w:ilvl w:val="0"/>
          <w:numId w:val="5"/>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组织的管理体系较上一次原机构审核有重大变更，如标准转版；</w:t>
      </w:r>
    </w:p>
    <w:p w14:paraId="2F95AE90">
      <w:pPr>
        <w:pStyle w:val="14"/>
        <w:numPr>
          <w:ilvl w:val="0"/>
          <w:numId w:val="5"/>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组织地理位置变化；</w:t>
      </w:r>
    </w:p>
    <w:p w14:paraId="343F2914">
      <w:pPr>
        <w:pStyle w:val="14"/>
        <w:numPr>
          <w:ilvl w:val="0"/>
          <w:numId w:val="5"/>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有效人数增加，并将引起增加审核人日的情况；</w:t>
      </w:r>
    </w:p>
    <w:p w14:paraId="2C63EAFC">
      <w:pPr>
        <w:pStyle w:val="14"/>
        <w:numPr>
          <w:ilvl w:val="0"/>
          <w:numId w:val="5"/>
        </w:numPr>
        <w:shd w:val="clear" w:color="auto" w:fill="auto"/>
        <w:tabs>
          <w:tab w:val="left" w:pos="794"/>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最高管理层（管理者）的变更；</w:t>
      </w:r>
    </w:p>
    <w:p w14:paraId="61D8F9C8">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5.5.5 其他重大变更情况的处理：</w:t>
      </w:r>
    </w:p>
    <w:p w14:paraId="3C023C60">
      <w:pPr>
        <w:pStyle w:val="14"/>
        <w:numPr>
          <w:ilvl w:val="0"/>
          <w:numId w:val="6"/>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有效人数减少，并将引起减少审核人日的情况，应在认证转换后，按照更新后的有效人数策划监督或再认证审核；</w:t>
      </w:r>
    </w:p>
    <w:p w14:paraId="08A7D429">
      <w:pPr>
        <w:pStyle w:val="14"/>
        <w:numPr>
          <w:ilvl w:val="0"/>
          <w:numId w:val="6"/>
        </w:numPr>
        <w:shd w:val="clear" w:color="auto" w:fill="auto"/>
        <w:tabs>
          <w:tab w:val="left" w:pos="794"/>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组织仅名称、或地址名称等变更，应在证书转换后，更新变更的信息。</w:t>
      </w:r>
    </w:p>
    <w:p w14:paraId="2CF875A3">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5.5.6 任何变更的情况均应在“评审表”中予以详细记录，审核策划过程应关注“评审表”中记录的变更信息，具体要求见本文件</w:t>
      </w:r>
      <w:r>
        <w:rPr>
          <w:rFonts w:hint="eastAsia" w:asciiTheme="minorEastAsia" w:hAnsiTheme="minorEastAsia" w:eastAsiaTheme="minorEastAsia" w:cstheme="minorEastAsia"/>
          <w:color w:val="000000"/>
          <w:sz w:val="21"/>
          <w:szCs w:val="21"/>
          <w:highlight w:val="none"/>
          <w:lang w:val="en-US" w:bidi="en-US"/>
        </w:rPr>
        <w:t>5.8.2；</w:t>
      </w:r>
    </w:p>
    <w:p w14:paraId="60BB1CBA">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5.5.7</w:t>
      </w:r>
      <w:r>
        <w:rPr>
          <w:rFonts w:hint="eastAsia" w:asciiTheme="minorEastAsia" w:hAnsiTheme="minorEastAsia" w:eastAsiaTheme="minorEastAsia" w:cstheme="minorEastAsia"/>
          <w:color w:val="000000"/>
          <w:sz w:val="21"/>
          <w:szCs w:val="21"/>
          <w:highlight w:val="none"/>
        </w:rPr>
        <w:t>确认认证证书范围的专业领域，并确认我机构的相关专业领域被认可的情况，按照本文件</w:t>
      </w:r>
      <w:r>
        <w:rPr>
          <w:rFonts w:hint="eastAsia" w:asciiTheme="minorEastAsia" w:hAnsiTheme="minorEastAsia" w:eastAsiaTheme="minorEastAsia" w:cstheme="minorEastAsia"/>
          <w:color w:val="000000"/>
          <w:sz w:val="21"/>
          <w:szCs w:val="21"/>
          <w:highlight w:val="none"/>
          <w:lang w:val="en-US" w:bidi="en-US"/>
        </w:rPr>
        <w:t>5.1</w:t>
      </w:r>
      <w:r>
        <w:rPr>
          <w:rFonts w:hint="eastAsia" w:asciiTheme="minorEastAsia" w:hAnsiTheme="minorEastAsia" w:eastAsiaTheme="minorEastAsia" w:cstheme="minorEastAsia"/>
          <w:color w:val="000000"/>
          <w:sz w:val="21"/>
          <w:szCs w:val="21"/>
          <w:highlight w:val="none"/>
        </w:rPr>
        <w:t>的要求，确认是否满足转换条件，不能满足条件的情况，执行本文件5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3</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2要求；</w:t>
      </w:r>
    </w:p>
    <w:p w14:paraId="19078AD4">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5.5.8</w:t>
      </w:r>
      <w:r>
        <w:rPr>
          <w:rFonts w:hint="eastAsia" w:asciiTheme="minorEastAsia" w:hAnsiTheme="minorEastAsia" w:eastAsiaTheme="minorEastAsia" w:cstheme="minorEastAsia"/>
          <w:color w:val="000000"/>
          <w:sz w:val="21"/>
          <w:szCs w:val="21"/>
          <w:highlight w:val="none"/>
        </w:rPr>
        <w:t>确认我机构的是否具备相关专业能力的审核人员及认证决定人员，不能满足条件的情况，不能受理认证申请。</w:t>
      </w:r>
    </w:p>
    <w:p w14:paraId="413D40F8">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5.5.9</w:t>
      </w:r>
      <w:r>
        <w:rPr>
          <w:rFonts w:hint="eastAsia" w:asciiTheme="minorEastAsia" w:hAnsiTheme="minorEastAsia" w:eastAsiaTheme="minorEastAsia" w:cstheme="minorEastAsia"/>
          <w:color w:val="000000"/>
          <w:sz w:val="21"/>
          <w:szCs w:val="21"/>
          <w:highlight w:val="none"/>
        </w:rPr>
        <w:t>如自原证书审核周期内，在“全国信用信息平台”的“严重违法违规栏”中存在投诉或违法违规情况，应收集企业采取措施的相关资料，并在“评审表”中予以记录，并将投诉处理的相关资料上传系统，传递到审核组进行关注，如投诉或违法违问题尚未关闭，不受理证书转换申请；</w:t>
      </w:r>
    </w:p>
    <w:p w14:paraId="4DB2625D">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5.5.10</w:t>
      </w:r>
      <w:r>
        <w:rPr>
          <w:rFonts w:hint="eastAsia" w:asciiTheme="minorEastAsia" w:hAnsiTheme="minorEastAsia" w:eastAsiaTheme="minorEastAsia" w:cstheme="minorEastAsia"/>
          <w:color w:val="000000"/>
          <w:sz w:val="21"/>
          <w:szCs w:val="21"/>
          <w:highlight w:val="none"/>
        </w:rPr>
        <w:t>申请转换子母证的情况：</w:t>
      </w:r>
    </w:p>
    <w:p w14:paraId="554A03FD">
      <w:pPr>
        <w:pStyle w:val="14"/>
        <w:numPr>
          <w:ilvl w:val="0"/>
          <w:numId w:val="7"/>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不得单独转换母证书或子证书；</w:t>
      </w:r>
    </w:p>
    <w:p w14:paraId="43A52973">
      <w:pPr>
        <w:pStyle w:val="14"/>
        <w:numPr>
          <w:ilvl w:val="0"/>
          <w:numId w:val="7"/>
        </w:numPr>
        <w:shd w:val="clear" w:color="auto" w:fill="auto"/>
        <w:tabs>
          <w:tab w:val="left" w:pos="794"/>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子母证全部或某一部分不符合转机构受理条件的情况，均按初审受理；</w:t>
      </w:r>
    </w:p>
    <w:p w14:paraId="6DEB849B">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5.6</w:t>
      </w:r>
      <w:r>
        <w:rPr>
          <w:rFonts w:hint="eastAsia" w:asciiTheme="minorEastAsia" w:hAnsiTheme="minorEastAsia" w:eastAsiaTheme="minorEastAsia" w:cstheme="minorEastAsia"/>
          <w:color w:val="000000"/>
          <w:sz w:val="21"/>
          <w:szCs w:val="21"/>
          <w:highlight w:val="none"/>
        </w:rPr>
        <w:t>转换前的现场访问</w:t>
      </w:r>
    </w:p>
    <w:p w14:paraId="559721D9">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5.6</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1评审中发现企业提交资料存在疑问的情况,应安排现场访问；</w:t>
      </w:r>
    </w:p>
    <w:p w14:paraId="3887A584">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5.6.2</w:t>
      </w:r>
      <w:r>
        <w:rPr>
          <w:rFonts w:hint="eastAsia" w:asciiTheme="minorEastAsia" w:hAnsiTheme="minorEastAsia" w:eastAsiaTheme="minorEastAsia" w:cstheme="minorEastAsia"/>
          <w:color w:val="000000"/>
          <w:sz w:val="21"/>
          <w:szCs w:val="21"/>
          <w:highlight w:val="none"/>
        </w:rPr>
        <w:t>现场访问派出的访问人员应满足</w:t>
      </w:r>
      <w:r>
        <w:rPr>
          <w:rFonts w:hint="eastAsia" w:asciiTheme="minorEastAsia" w:hAnsiTheme="minorEastAsia" w:eastAsiaTheme="minorEastAsia" w:cstheme="minorEastAsia"/>
          <w:color w:val="000000"/>
          <w:sz w:val="21"/>
          <w:szCs w:val="21"/>
          <w:highlight w:val="none"/>
          <w:lang w:val="en-US" w:bidi="en-US"/>
        </w:rPr>
        <w:t>NICC-P</w:t>
      </w:r>
      <w:r>
        <w:rPr>
          <w:rFonts w:hint="eastAsia" w:asciiTheme="minorEastAsia" w:hAnsiTheme="minorEastAsia" w:eastAsiaTheme="minorEastAsia" w:cstheme="minorEastAsia"/>
          <w:color w:val="000000"/>
          <w:sz w:val="21"/>
          <w:szCs w:val="21"/>
          <w:highlight w:val="none"/>
          <w:lang w:val="en-US" w:eastAsia="zh-CN" w:bidi="en-US"/>
        </w:rPr>
        <w:t>-</w:t>
      </w:r>
      <w:r>
        <w:rPr>
          <w:rFonts w:hint="eastAsia" w:asciiTheme="minorEastAsia" w:hAnsiTheme="minorEastAsia" w:eastAsiaTheme="minorEastAsia" w:cstheme="minorEastAsia"/>
          <w:color w:val="000000"/>
          <w:sz w:val="21"/>
          <w:szCs w:val="21"/>
          <w:highlight w:val="none"/>
          <w:lang w:val="en-US" w:bidi="en-US"/>
        </w:rPr>
        <w:t>05</w:t>
      </w:r>
      <w:r>
        <w:rPr>
          <w:rFonts w:hint="eastAsia" w:asciiTheme="minorEastAsia" w:hAnsiTheme="minorEastAsia" w:eastAsiaTheme="minorEastAsia" w:cstheme="minorEastAsia"/>
          <w:color w:val="000000"/>
          <w:sz w:val="21"/>
          <w:szCs w:val="21"/>
          <w:highlight w:val="none"/>
        </w:rPr>
        <w:t>审核实施程序中对审核组专业能力的要求，访问一般不少于</w:t>
      </w:r>
      <w:r>
        <w:rPr>
          <w:rFonts w:hint="eastAsia" w:asciiTheme="minorEastAsia" w:hAnsiTheme="minorEastAsia" w:eastAsiaTheme="minorEastAsia" w:cstheme="minorEastAsia"/>
          <w:color w:val="000000"/>
          <w:sz w:val="21"/>
          <w:szCs w:val="21"/>
          <w:highlight w:val="none"/>
          <w:lang w:val="en-US" w:bidi="en-US"/>
        </w:rPr>
        <w:t xml:space="preserve">0.5 </w:t>
      </w:r>
      <w:r>
        <w:rPr>
          <w:rFonts w:hint="eastAsia" w:asciiTheme="minorEastAsia" w:hAnsiTheme="minorEastAsia" w:eastAsiaTheme="minorEastAsia" w:cstheme="minorEastAsia"/>
          <w:color w:val="000000"/>
          <w:sz w:val="21"/>
          <w:szCs w:val="21"/>
          <w:highlight w:val="none"/>
        </w:rPr>
        <w:t>天。</w:t>
      </w:r>
    </w:p>
    <w:p w14:paraId="42182118">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5.6.3</w:t>
      </w:r>
      <w:r>
        <w:rPr>
          <w:rFonts w:hint="eastAsia" w:asciiTheme="minorEastAsia" w:hAnsiTheme="minorEastAsia" w:eastAsiaTheme="minorEastAsia" w:cstheme="minorEastAsia"/>
          <w:color w:val="000000"/>
          <w:sz w:val="21"/>
          <w:szCs w:val="21"/>
          <w:highlight w:val="none"/>
        </w:rPr>
        <w:t>通过转换前的访问应针对评审中确认的访问目的开展，并应形成结论，是否可以消除影响转换的问题，并提交技术风控部评审，评审结论是否可以转换为我机构证书。</w:t>
      </w:r>
    </w:p>
    <w:p w14:paraId="015F61B1">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5.7</w:t>
      </w:r>
      <w:r>
        <w:rPr>
          <w:rFonts w:hint="eastAsia" w:asciiTheme="minorEastAsia" w:hAnsiTheme="minorEastAsia" w:eastAsiaTheme="minorEastAsia" w:cstheme="minorEastAsia"/>
          <w:color w:val="000000"/>
          <w:sz w:val="21"/>
          <w:szCs w:val="21"/>
          <w:highlight w:val="none"/>
        </w:rPr>
        <w:t>转换评审的结论及合同事宜</w:t>
      </w:r>
    </w:p>
    <w:p w14:paraId="63986ABF">
      <w:pPr>
        <w:pStyle w:val="14"/>
        <w:shd w:val="clear" w:color="auto" w:fill="auto"/>
        <w:spacing w:line="400" w:lineRule="exact"/>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5.7.1</w:t>
      </w:r>
      <w:r>
        <w:rPr>
          <w:rFonts w:hint="eastAsia" w:asciiTheme="minorEastAsia" w:hAnsiTheme="minorEastAsia" w:eastAsiaTheme="minorEastAsia" w:cstheme="minorEastAsia"/>
          <w:color w:val="000000"/>
          <w:sz w:val="21"/>
          <w:szCs w:val="21"/>
          <w:highlight w:val="none"/>
        </w:rPr>
        <w:t>转换前评审（文件评审和/或转换前现场访问）存在识别出影响转换的问题，结论为不符合认证证书转换要求的情况，将不受理理由明确告知申请方，符合初审受理条件的情况，与申请方协商一致的前提下，对申请转换组织按新客户进行初审受理；</w:t>
      </w:r>
    </w:p>
    <w:p w14:paraId="1E09FDEA">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5.7.2</w:t>
      </w:r>
      <w:r>
        <w:rPr>
          <w:rFonts w:hint="eastAsia" w:asciiTheme="minorEastAsia" w:hAnsiTheme="minorEastAsia" w:eastAsiaTheme="minorEastAsia" w:cstheme="minorEastAsia"/>
          <w:color w:val="000000"/>
          <w:sz w:val="21"/>
          <w:szCs w:val="21"/>
          <w:highlight w:val="none"/>
        </w:rPr>
        <w:t>如转换前评审意见为推荐证书转换的情况，市场部组织签订“认证服务合同书”。</w:t>
      </w:r>
    </w:p>
    <w:p w14:paraId="26E252A4">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5.8</w:t>
      </w:r>
      <w:r>
        <w:rPr>
          <w:rFonts w:hint="eastAsia" w:asciiTheme="minorEastAsia" w:hAnsiTheme="minorEastAsia" w:eastAsiaTheme="minorEastAsia" w:cstheme="minorEastAsia"/>
          <w:color w:val="000000"/>
          <w:sz w:val="21"/>
          <w:szCs w:val="21"/>
          <w:highlight w:val="none"/>
        </w:rPr>
        <w:t>认证决定</w:t>
      </w:r>
    </w:p>
    <w:p w14:paraId="2BD36AFE">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5</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8</w:t>
      </w:r>
      <w:r>
        <w:rPr>
          <w:rFonts w:hint="eastAsia" w:asciiTheme="minorEastAsia" w:hAnsiTheme="minorEastAsia" w:eastAsiaTheme="minorEastAsia" w:cstheme="minorEastAsia"/>
          <w:color w:val="000000"/>
          <w:sz w:val="21"/>
          <w:szCs w:val="21"/>
          <w:highlight w:val="none"/>
          <w:lang w:val="en-US"/>
        </w:rPr>
        <w:t>.</w:t>
      </w:r>
      <w:r>
        <w:rPr>
          <w:rFonts w:hint="eastAsia" w:asciiTheme="minorEastAsia" w:hAnsiTheme="minorEastAsia" w:eastAsiaTheme="minorEastAsia" w:cstheme="minorEastAsia"/>
          <w:color w:val="000000"/>
          <w:sz w:val="21"/>
          <w:szCs w:val="21"/>
          <w:highlight w:val="none"/>
        </w:rPr>
        <w:t>1技术风控部应在任何监督或再认证审核开始前对认证作出决定，产生认证决定的人员不能为实施转换前评审的人员；</w:t>
      </w:r>
    </w:p>
    <w:p w14:paraId="43936E2D">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5.8.2</w:t>
      </w:r>
      <w:r>
        <w:rPr>
          <w:rFonts w:hint="eastAsia" w:asciiTheme="minorEastAsia" w:hAnsiTheme="minorEastAsia" w:eastAsiaTheme="minorEastAsia" w:cstheme="minorEastAsia"/>
          <w:color w:val="000000"/>
          <w:sz w:val="21"/>
          <w:szCs w:val="21"/>
          <w:highlight w:val="none"/>
        </w:rPr>
        <w:t>认证决定应针对转换评审结论的有效性进行验证，并确认我机构能够接受转换客户针对所有尚未关闭的轻微不符合的纠正和纠正措施计划；</w:t>
      </w:r>
    </w:p>
    <w:p w14:paraId="0D5B92B0">
      <w:pPr>
        <w:pStyle w:val="14"/>
        <w:numPr>
          <w:ilvl w:val="0"/>
          <w:numId w:val="8"/>
        </w:numPr>
        <w:shd w:val="clear" w:color="auto" w:fill="auto"/>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5.8.2.</w:t>
      </w:r>
      <w:r>
        <w:rPr>
          <w:rFonts w:hint="eastAsia" w:asciiTheme="minorEastAsia" w:hAnsiTheme="minorEastAsia" w:eastAsiaTheme="minorEastAsia" w:cstheme="minorEastAsia"/>
          <w:color w:val="000000"/>
          <w:sz w:val="21"/>
          <w:szCs w:val="21"/>
          <w:highlight w:val="none"/>
        </w:rPr>
        <w:t>1认证决定意见为推荐证书转换的情况，由技术风控部颁发我机构的认证证书，认证证书的认证时间延续原证书时间；</w:t>
      </w:r>
    </w:p>
    <w:p w14:paraId="4E746685">
      <w:pPr>
        <w:pStyle w:val="14"/>
        <w:numPr>
          <w:ilvl w:val="0"/>
          <w:numId w:val="8"/>
        </w:numPr>
        <w:shd w:val="clear" w:color="auto" w:fill="auto"/>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认证决定过程中识别出妨碍转换的问题时，不推荐证书转换，适用时，可针对识别出妨碍转换的的问题提出补充现场访问的建议，并转评审/认证部安排现场访问，现场访问可消除妨碍转换的因素时，方可推荐证书转换，否则不予推荐；</w:t>
      </w:r>
    </w:p>
    <w:p w14:paraId="0C8D75A6">
      <w:pPr>
        <w:pStyle w:val="14"/>
        <w:numPr>
          <w:ilvl w:val="0"/>
          <w:numId w:val="8"/>
        </w:numPr>
        <w:shd w:val="clear" w:color="auto" w:fill="auto"/>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不予推荐结论应明确是否可推荐按初审受理，不推荐按初审受理的情况，应明确理由。</w:t>
      </w:r>
    </w:p>
    <w:p w14:paraId="15E778A5">
      <w:pPr>
        <w:pStyle w:val="14"/>
        <w:shd w:val="clear" w:color="auto" w:fill="auto"/>
        <w:spacing w:line="4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5.8.3</w:t>
      </w:r>
      <w:r>
        <w:rPr>
          <w:rFonts w:hint="eastAsia" w:asciiTheme="minorEastAsia" w:hAnsiTheme="minorEastAsia" w:eastAsiaTheme="minorEastAsia" w:cstheme="minorEastAsia"/>
          <w:color w:val="auto"/>
          <w:sz w:val="21"/>
          <w:szCs w:val="21"/>
          <w:highlight w:val="none"/>
          <w:lang w:val="en-US" w:bidi="en-US"/>
        </w:rPr>
        <w:t>认证决定</w:t>
      </w:r>
      <w:r>
        <w:rPr>
          <w:rFonts w:hint="eastAsia" w:asciiTheme="minorEastAsia" w:hAnsiTheme="minorEastAsia" w:eastAsiaTheme="minorEastAsia" w:cstheme="minorEastAsia"/>
          <w:color w:val="auto"/>
          <w:sz w:val="21"/>
          <w:szCs w:val="21"/>
          <w:highlight w:val="none"/>
        </w:rPr>
        <w:t>接受机构证书转换并颁发了认证证书，技术风控部应在一个工作日内书面通知原颁证机构。</w:t>
      </w:r>
    </w:p>
    <w:p w14:paraId="67AF3B09">
      <w:pPr>
        <w:pStyle w:val="14"/>
        <w:shd w:val="clear" w:color="auto" w:fill="auto"/>
        <w:spacing w:line="40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bidi="en-US"/>
        </w:rPr>
        <w:t>5.9</w:t>
      </w:r>
      <w:r>
        <w:rPr>
          <w:rFonts w:hint="eastAsia" w:asciiTheme="minorEastAsia" w:hAnsiTheme="minorEastAsia" w:eastAsiaTheme="minorEastAsia" w:cstheme="minorEastAsia"/>
          <w:color w:val="auto"/>
          <w:sz w:val="21"/>
          <w:szCs w:val="21"/>
          <w:highlight w:val="none"/>
        </w:rPr>
        <w:t>审核方案的策划：</w:t>
      </w:r>
    </w:p>
    <w:p w14:paraId="5D64872A">
      <w:pPr>
        <w:pStyle w:val="14"/>
        <w:shd w:val="clear" w:color="auto" w:fill="auto"/>
        <w:spacing w:line="400" w:lineRule="exact"/>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转换到我机构认证证书发放后，由审核方案策划人员根据原发证机构的审核和认证周期等获取的信息，依据</w:t>
      </w:r>
      <w:r>
        <w:rPr>
          <w:rFonts w:hint="eastAsia" w:asciiTheme="minorEastAsia" w:hAnsiTheme="minorEastAsia" w:eastAsiaTheme="minorEastAsia" w:cstheme="minorEastAsia"/>
          <w:color w:val="000000"/>
          <w:sz w:val="21"/>
          <w:szCs w:val="21"/>
          <w:highlight w:val="none"/>
          <w:lang w:val="en-US" w:bidi="en-US"/>
        </w:rPr>
        <w:t>NICC-P</w:t>
      </w:r>
      <w:r>
        <w:rPr>
          <w:rFonts w:hint="eastAsia" w:asciiTheme="minorEastAsia" w:hAnsiTheme="minorEastAsia" w:eastAsiaTheme="minorEastAsia" w:cstheme="minorEastAsia"/>
          <w:color w:val="000000"/>
          <w:sz w:val="21"/>
          <w:szCs w:val="21"/>
          <w:highlight w:val="none"/>
          <w:lang w:val="en-US" w:eastAsia="zh-CN" w:bidi="en-US"/>
        </w:rPr>
        <w:t>-</w:t>
      </w:r>
      <w:r>
        <w:rPr>
          <w:rFonts w:hint="eastAsia" w:asciiTheme="minorEastAsia" w:hAnsiTheme="minorEastAsia" w:eastAsiaTheme="minorEastAsia" w:cstheme="minorEastAsia"/>
          <w:color w:val="000000"/>
          <w:sz w:val="21"/>
          <w:szCs w:val="21"/>
          <w:highlight w:val="none"/>
          <w:lang w:val="en-US" w:bidi="en-US"/>
        </w:rPr>
        <w:t>04</w:t>
      </w:r>
      <w:r>
        <w:rPr>
          <w:rFonts w:hint="eastAsia" w:asciiTheme="minorEastAsia" w:hAnsiTheme="minorEastAsia" w:eastAsiaTheme="minorEastAsia" w:cstheme="minorEastAsia"/>
          <w:color w:val="000000"/>
          <w:sz w:val="21"/>
          <w:szCs w:val="21"/>
          <w:highlight w:val="none"/>
          <w:lang w:val="en-US" w:eastAsia="zh-CN" w:bidi="en-US"/>
        </w:rPr>
        <w:t>/</w:t>
      </w:r>
      <w:r>
        <w:rPr>
          <w:rFonts w:hint="eastAsia" w:asciiTheme="minorEastAsia" w:hAnsiTheme="minorEastAsia" w:eastAsiaTheme="minorEastAsia" w:cstheme="minorEastAsia"/>
          <w:color w:val="000000"/>
          <w:sz w:val="21"/>
          <w:szCs w:val="21"/>
          <w:highlight w:val="none"/>
          <w:lang w:val="en-US" w:bidi="en-US"/>
        </w:rPr>
        <w:t>05</w:t>
      </w:r>
      <w:r>
        <w:rPr>
          <w:rFonts w:hint="eastAsia" w:asciiTheme="minorEastAsia" w:hAnsiTheme="minorEastAsia" w:eastAsiaTheme="minorEastAsia" w:cstheme="minorEastAsia"/>
          <w:color w:val="000000"/>
          <w:sz w:val="21"/>
          <w:szCs w:val="21"/>
          <w:highlight w:val="none"/>
        </w:rPr>
        <w:t>等相关程序的相关要求，策划审核方案，以便保持认证资格，应关注影响审核方案策划的显著变化信息。</w:t>
      </w:r>
    </w:p>
    <w:p w14:paraId="5C8A3B7D">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 xml:space="preserve">5.10 </w:t>
      </w:r>
      <w:r>
        <w:rPr>
          <w:rFonts w:hint="eastAsia" w:asciiTheme="minorEastAsia" w:hAnsiTheme="minorEastAsia" w:eastAsiaTheme="minorEastAsia" w:cstheme="minorEastAsia"/>
          <w:color w:val="000000"/>
          <w:sz w:val="21"/>
          <w:szCs w:val="21"/>
          <w:highlight w:val="none"/>
        </w:rPr>
        <w:t>颁证机构和接受机构间的协作</w:t>
      </w:r>
    </w:p>
    <w:p w14:paraId="22EA2D03">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5.10.1</w:t>
      </w:r>
      <w:r>
        <w:rPr>
          <w:rFonts w:hint="eastAsia" w:asciiTheme="minorEastAsia" w:hAnsiTheme="minorEastAsia" w:eastAsiaTheme="minorEastAsia" w:cstheme="minorEastAsia"/>
          <w:color w:val="000000"/>
          <w:sz w:val="21"/>
          <w:szCs w:val="21"/>
          <w:highlight w:val="none"/>
        </w:rPr>
        <w:t>颁证机构和接受机构间的协作对转换过程的有效性和认证的诚信性是非常必要的。接到要求时，颁证机构应向接受机构提供本文件中所要求的全部文件和信息。当不可能与颁证机构取得联系时，接受机构应记录原因并尽所有努力从其他来源获得必要的信息。</w:t>
      </w:r>
    </w:p>
    <w:p w14:paraId="701ACD1D">
      <w:pPr>
        <w:pStyle w:val="14"/>
        <w:shd w:val="clear" w:color="auto" w:fill="auto"/>
        <w:spacing w:line="400" w:lineRule="exact"/>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bidi="en-US"/>
        </w:rPr>
        <w:t>5.10.2</w:t>
      </w:r>
      <w:r>
        <w:rPr>
          <w:rFonts w:hint="eastAsia" w:asciiTheme="minorEastAsia" w:hAnsiTheme="minorEastAsia" w:eastAsiaTheme="minorEastAsia" w:cstheme="minorEastAsia"/>
          <w:color w:val="000000"/>
          <w:sz w:val="21"/>
          <w:szCs w:val="21"/>
          <w:highlight w:val="none"/>
        </w:rPr>
        <w:t>当颁证机构发生下述情况时，接受机构和/或转换客户应与颁证机构的认可机构取得联系，</w:t>
      </w:r>
    </w:p>
    <w:p w14:paraId="63C9CB5A">
      <w:pPr>
        <w:pStyle w:val="14"/>
        <w:numPr>
          <w:ilvl w:val="0"/>
          <w:numId w:val="9"/>
        </w:numPr>
        <w:shd w:val="clear" w:color="auto" w:fill="auto"/>
        <w:tabs>
          <w:tab w:val="left" w:pos="794"/>
        </w:tabs>
        <w:spacing w:line="400" w:lineRule="exact"/>
        <w:ind w:firstLine="460"/>
        <w:jc w:val="both"/>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不向接受机构提供需要的信息；或</w:t>
      </w:r>
    </w:p>
    <w:p w14:paraId="31C48ADD">
      <w:pPr>
        <w:pStyle w:val="14"/>
        <w:numPr>
          <w:ilvl w:val="0"/>
          <w:numId w:val="9"/>
        </w:numPr>
        <w:shd w:val="clear" w:color="auto" w:fill="auto"/>
        <w:tabs>
          <w:tab w:val="left" w:pos="794"/>
        </w:tabs>
        <w:spacing w:line="400" w:lineRule="exact"/>
        <w:ind w:firstLine="460"/>
        <w:jc w:val="both"/>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rPr>
        <w:t>无理由暂停或撤销转换客户的认证。</w:t>
      </w:r>
    </w:p>
    <w:p w14:paraId="30B79430">
      <w:pPr>
        <w:pStyle w:val="13"/>
        <w:keepNext/>
        <w:keepLines/>
        <w:numPr>
          <w:ilvl w:val="0"/>
          <w:numId w:val="10"/>
        </w:numPr>
        <w:shd w:val="clear" w:color="auto" w:fill="auto"/>
        <w:tabs>
          <w:tab w:val="left" w:pos="431"/>
        </w:tabs>
        <w:spacing w:beforeLines="100" w:after="140"/>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相关文件</w:t>
      </w:r>
    </w:p>
    <w:p w14:paraId="4278F0C5">
      <w:pPr>
        <w:pStyle w:val="14"/>
        <w:shd w:val="clear" w:color="auto" w:fill="auto"/>
        <w:spacing w:line="400" w:lineRule="exact"/>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eastAsia="zh-CN"/>
        </w:rPr>
        <w:t>《</w:t>
      </w:r>
      <w:r>
        <w:rPr>
          <w:rFonts w:hint="eastAsia" w:asciiTheme="minorEastAsia" w:hAnsiTheme="minorEastAsia" w:eastAsiaTheme="minorEastAsia" w:cstheme="minorEastAsia"/>
          <w:color w:val="000000"/>
          <w:sz w:val="21"/>
          <w:szCs w:val="21"/>
          <w:highlight w:val="none"/>
          <w:lang w:val="en-US" w:eastAsia="zh-CN"/>
        </w:rPr>
        <w:t>认证</w:t>
      </w:r>
      <w:r>
        <w:rPr>
          <w:rFonts w:hint="eastAsia" w:asciiTheme="minorEastAsia" w:hAnsiTheme="minorEastAsia" w:eastAsiaTheme="minorEastAsia" w:cstheme="minorEastAsia"/>
          <w:color w:val="000000"/>
          <w:sz w:val="21"/>
          <w:szCs w:val="21"/>
          <w:highlight w:val="none"/>
        </w:rPr>
        <w:t>申请评审程序</w:t>
      </w:r>
      <w:r>
        <w:rPr>
          <w:rFonts w:hint="eastAsia" w:asciiTheme="minorEastAsia" w:hAnsiTheme="minorEastAsia" w:eastAsiaTheme="minorEastAsia" w:cstheme="minorEastAsia"/>
          <w:color w:val="000000"/>
          <w:sz w:val="21"/>
          <w:szCs w:val="21"/>
          <w:highlight w:val="none"/>
          <w:lang w:eastAsia="zh-CN"/>
        </w:rPr>
        <w:t>》</w:t>
      </w:r>
    </w:p>
    <w:p w14:paraId="41B6557A">
      <w:pPr>
        <w:pStyle w:val="14"/>
        <w:shd w:val="clear" w:color="auto" w:fill="auto"/>
        <w:spacing w:line="400" w:lineRule="exact"/>
        <w:rPr>
          <w:rFonts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eastAsia="zh-CN"/>
        </w:rPr>
        <w:t>《</w:t>
      </w:r>
      <w:r>
        <w:rPr>
          <w:rFonts w:hint="eastAsia" w:asciiTheme="minorEastAsia" w:hAnsiTheme="minorEastAsia" w:eastAsiaTheme="minorEastAsia" w:cstheme="minorEastAsia"/>
          <w:color w:val="000000"/>
          <w:sz w:val="21"/>
          <w:szCs w:val="21"/>
          <w:highlight w:val="none"/>
        </w:rPr>
        <w:t>审核实施程序</w:t>
      </w:r>
      <w:r>
        <w:rPr>
          <w:rFonts w:hint="eastAsia" w:asciiTheme="minorEastAsia" w:hAnsiTheme="minorEastAsia" w:eastAsiaTheme="minorEastAsia" w:cstheme="minorEastAsia"/>
          <w:color w:val="000000"/>
          <w:sz w:val="21"/>
          <w:szCs w:val="21"/>
          <w:highlight w:val="none"/>
          <w:lang w:eastAsia="zh-CN"/>
        </w:rPr>
        <w:t>》</w:t>
      </w:r>
    </w:p>
    <w:p w14:paraId="3F400E4A">
      <w:pPr>
        <w:pStyle w:val="13"/>
        <w:keepNext/>
        <w:keepLines/>
        <w:numPr>
          <w:ilvl w:val="0"/>
          <w:numId w:val="10"/>
        </w:numPr>
        <w:shd w:val="clear" w:color="auto" w:fill="auto"/>
        <w:tabs>
          <w:tab w:val="left" w:pos="431"/>
        </w:tabs>
        <w:spacing w:beforeLines="100" w:after="140"/>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相关记录</w:t>
      </w:r>
    </w:p>
    <w:p w14:paraId="6C905503">
      <w:pPr>
        <w:pStyle w:val="14"/>
        <w:shd w:val="clear" w:color="auto" w:fill="auto"/>
        <w:spacing w:line="400" w:lineRule="exact"/>
        <w:rPr>
          <w:rFonts w:asciiTheme="minorEastAsia" w:hAnsiTheme="minorEastAsia" w:eastAsiaTheme="minorEastAsia" w:cstheme="minorEastAsia"/>
          <w:color w:val="000000"/>
          <w:sz w:val="21"/>
          <w:szCs w:val="21"/>
          <w:highlight w:val="none"/>
          <w:lang w:val="en-US"/>
        </w:rPr>
      </w:pPr>
      <w:r>
        <w:rPr>
          <w:rFonts w:hint="eastAsia" w:asciiTheme="minorEastAsia" w:hAnsiTheme="minorEastAsia" w:eastAsiaTheme="minorEastAsia" w:cstheme="minorEastAsia"/>
          <w:color w:val="000000"/>
          <w:sz w:val="21"/>
          <w:szCs w:val="21"/>
          <w:highlight w:val="none"/>
        </w:rPr>
        <w:t>认证申请书</w:t>
      </w:r>
    </w:p>
    <w:sectPr>
      <w:footerReference r:id="rId5" w:type="default"/>
      <w:pgSz w:w="11900" w:h="16840"/>
      <w:pgMar w:top="1440" w:right="1080" w:bottom="1440" w:left="1080" w:header="709" w:footer="992" w:gutter="0"/>
      <w:pgNumType w:fmt="decimal"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JhengHei Light">
    <w:panose1 w:val="020B0304030504040204"/>
    <w:charset w:val="88"/>
    <w:family w:val="swiss"/>
    <w:pitch w:val="default"/>
    <w:sig w:usb0="8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B4C48">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0D60">
    <w:pPr>
      <w:spacing w:line="1" w:lineRule="exact"/>
    </w:pPr>
    <w:r>
      <w:rPr>
        <w:sz w:val="24"/>
      </w:rPr>
      <w:pict>
        <v:shape id="_x0000_s2049" o:spid="_x0000_s2049" o:spt="202" type="#_x0000_t202" style="position:absolute;left:0pt;margin-top:0pt;height:144pt;width:144pt;mso-position-horizontal:lef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73D42C84">
                <w:pPr>
                  <w:pStyle w:val="5"/>
                  <w:rPr>
                    <w:rFonts w:hint="eastAsia" w:eastAsia="宋体"/>
                    <w:lang w:val="en-US" w:eastAsia="zh-CN"/>
                  </w:rPr>
                </w:pPr>
                <w:r>
                  <w:fldChar w:fldCharType="begin"/>
                </w:r>
                <w:r>
                  <w:instrText xml:space="preserve"> PAGE  \* MERGEFORMAT </w:instrText>
                </w:r>
                <w:r>
                  <w:fldChar w:fldCharType="separate"/>
                </w:r>
                <w:r>
                  <w:t>1</w:t>
                </w:r>
                <w:r>
                  <w:fldChar w:fldCharType="end"/>
                </w:r>
                <w:r>
                  <w:t xml:space="preserve"> / </w:t>
                </w:r>
                <w:r>
                  <w:rPr>
                    <w:rFonts w:hint="eastAsia" w:eastAsia="宋体"/>
                    <w:lang w:val="en-US" w:eastAsia="zh-CN"/>
                  </w:rPr>
                  <w:t>5</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pPr w:leftFromText="180" w:rightFromText="180" w:vertAnchor="page" w:horzAnchor="page" w:tblpX="1200" w:tblpY="631"/>
      <w:tblOverlap w:val="never"/>
      <w:tblW w:w="972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4992"/>
      <w:gridCol w:w="1308"/>
      <w:gridCol w:w="1725"/>
    </w:tblGrid>
    <w:tr w14:paraId="492FD2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695" w:type="dxa"/>
          <w:vMerge w:val="restart"/>
          <w:vAlign w:val="center"/>
        </w:tcPr>
        <w:p w14:paraId="2FCDE379">
          <w:pPr>
            <w:widowControl/>
            <w:spacing w:line="260" w:lineRule="atLeast"/>
            <w:jc w:val="center"/>
            <w:rPr>
              <w:rFonts w:ascii="Arial" w:hAnsi="Arial" w:cs="Arial"/>
              <w:sz w:val="36"/>
              <w:szCs w:val="36"/>
            </w:rPr>
          </w:pPr>
          <w:r>
            <w:rPr>
              <w:rFonts w:hint="eastAsia" w:ascii="宋体" w:hAnsi="宋体" w:eastAsia="宋体" w:cs="宋体"/>
              <w:lang w:eastAsia="zh-CN"/>
            </w:rPr>
            <w:drawing>
              <wp:inline distT="0" distB="0" distL="114300" distR="114300">
                <wp:extent cx="807085" cy="737870"/>
                <wp:effectExtent l="0" t="0" r="0" b="5080"/>
                <wp:docPr id="6" name="图片 6" descr="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LOGO"/>
                        <pic:cNvPicPr>
                          <a:picLocks noChangeAspect="1"/>
                        </pic:cNvPicPr>
                      </pic:nvPicPr>
                      <pic:blipFill>
                        <a:blip r:embed="rId1"/>
                        <a:srcRect l="14946" t="12138" r="14975" b="23808"/>
                        <a:stretch>
                          <a:fillRect/>
                        </a:stretch>
                      </pic:blipFill>
                      <pic:spPr>
                        <a:xfrm>
                          <a:off x="0" y="0"/>
                          <a:ext cx="807085" cy="737870"/>
                        </a:xfrm>
                        <a:prstGeom prst="rect">
                          <a:avLst/>
                        </a:prstGeom>
                      </pic:spPr>
                    </pic:pic>
                  </a:graphicData>
                </a:graphic>
              </wp:inline>
            </w:drawing>
          </w:r>
        </w:p>
      </w:tc>
      <w:tc>
        <w:tcPr>
          <w:tcW w:w="4992" w:type="dxa"/>
          <w:vMerge w:val="restart"/>
          <w:vAlign w:val="center"/>
        </w:tcPr>
        <w:p w14:paraId="3731F8CB">
          <w:pPr>
            <w:widowControl/>
            <w:spacing w:line="260" w:lineRule="atLeast"/>
            <w:jc w:val="center"/>
            <w:rPr>
              <w:rFonts w:ascii="微软雅黑" w:hAnsi="微软雅黑" w:eastAsia="微软雅黑" w:cs="Arial"/>
              <w:b/>
              <w:bCs/>
              <w:sz w:val="28"/>
              <w:szCs w:val="28"/>
              <w:lang w:eastAsia="zh-CN"/>
            </w:rPr>
          </w:pPr>
          <w:r>
            <w:rPr>
              <w:rFonts w:hint="eastAsia" w:ascii="微软雅黑" w:hAnsi="微软雅黑" w:eastAsia="微软雅黑" w:cs="Arial"/>
              <w:b/>
              <w:bCs/>
              <w:sz w:val="28"/>
              <w:szCs w:val="28"/>
              <w:lang w:eastAsia="zh-CN"/>
            </w:rPr>
            <w:t>辽宁中正信合检测认证有限公司</w:t>
          </w:r>
        </w:p>
        <w:p w14:paraId="612373BB">
          <w:pPr>
            <w:widowControl/>
            <w:spacing w:line="260" w:lineRule="atLeast"/>
            <w:jc w:val="center"/>
            <w:rPr>
              <w:rFonts w:ascii="微软雅黑" w:hAnsi="微软雅黑" w:eastAsia="微软雅黑" w:cs="Arial"/>
              <w:sz w:val="36"/>
              <w:szCs w:val="36"/>
              <w:lang w:eastAsia="zh-CN"/>
            </w:rPr>
          </w:pPr>
          <w:r>
            <w:rPr>
              <w:rFonts w:hint="eastAsia" w:ascii="微软雅黑" w:hAnsi="微软雅黑" w:eastAsia="微软雅黑" w:cs="Arial"/>
              <w:b/>
              <w:bCs/>
              <w:sz w:val="28"/>
              <w:szCs w:val="28"/>
              <w:lang w:eastAsia="zh-CN"/>
            </w:rPr>
            <w:t>已认可的认证证书转换管理办法</w:t>
          </w:r>
        </w:p>
      </w:tc>
      <w:tc>
        <w:tcPr>
          <w:tcW w:w="1308" w:type="dxa"/>
          <w:vAlign w:val="center"/>
        </w:tcPr>
        <w:p w14:paraId="134C41FC">
          <w:pPr>
            <w:widowControl/>
            <w:spacing w:line="260" w:lineRule="atLeast"/>
            <w:rPr>
              <w:rFonts w:ascii="微软雅黑" w:hAnsi="微软雅黑" w:eastAsia="微软雅黑" w:cs="Arial"/>
              <w:b/>
              <w:bCs/>
              <w:sz w:val="20"/>
              <w:szCs w:val="20"/>
            </w:rPr>
          </w:pPr>
          <w:r>
            <w:rPr>
              <w:rFonts w:hint="eastAsia" w:ascii="微软雅黑" w:hAnsi="微软雅黑" w:eastAsia="微软雅黑" w:cs="Arial"/>
              <w:b/>
              <w:bCs/>
              <w:sz w:val="20"/>
              <w:szCs w:val="20"/>
            </w:rPr>
            <w:t>文件编号：</w:t>
          </w:r>
        </w:p>
      </w:tc>
      <w:tc>
        <w:tcPr>
          <w:tcW w:w="1725" w:type="dxa"/>
          <w:vAlign w:val="center"/>
        </w:tcPr>
        <w:p w14:paraId="77D0319A">
          <w:pPr>
            <w:widowControl/>
            <w:spacing w:line="260" w:lineRule="atLeast"/>
            <w:rPr>
              <w:rFonts w:hint="default" w:ascii="微软雅黑" w:hAnsi="微软雅黑" w:eastAsia="微软雅黑" w:cs="Times New Roman"/>
              <w:b/>
              <w:bCs/>
              <w:sz w:val="20"/>
              <w:szCs w:val="20"/>
              <w:lang w:val="en-US" w:eastAsia="zh-CN"/>
            </w:rPr>
          </w:pPr>
          <w:r>
            <w:rPr>
              <w:rFonts w:hint="eastAsia" w:ascii="微软雅黑" w:hAnsi="微软雅黑" w:eastAsia="微软雅黑" w:cs="Times New Roman"/>
              <w:b/>
              <w:bCs/>
              <w:sz w:val="20"/>
              <w:szCs w:val="20"/>
            </w:rPr>
            <w:t>NICC-</w:t>
          </w:r>
          <w:r>
            <w:rPr>
              <w:rFonts w:hint="eastAsia" w:ascii="微软雅黑" w:hAnsi="微软雅黑" w:eastAsia="微软雅黑" w:cs="Times New Roman"/>
              <w:b/>
              <w:bCs/>
              <w:sz w:val="20"/>
              <w:szCs w:val="20"/>
              <w:lang w:eastAsia="zh-CN"/>
            </w:rPr>
            <w:t>R</w:t>
          </w:r>
          <w:r>
            <w:rPr>
              <w:rFonts w:hint="eastAsia" w:ascii="微软雅黑" w:hAnsi="微软雅黑" w:eastAsia="微软雅黑" w:cs="Times New Roman"/>
              <w:b/>
              <w:bCs/>
              <w:sz w:val="20"/>
              <w:szCs w:val="20"/>
              <w:lang w:val="en-US" w:eastAsia="zh-CN"/>
            </w:rPr>
            <w:t>-02</w:t>
          </w:r>
        </w:p>
      </w:tc>
    </w:tr>
    <w:tr w14:paraId="5C825A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695" w:type="dxa"/>
          <w:vMerge w:val="continue"/>
          <w:vAlign w:val="center"/>
        </w:tcPr>
        <w:p w14:paraId="734DCF5E">
          <w:pPr>
            <w:widowControl/>
            <w:rPr>
              <w:rFonts w:ascii="Arial" w:hAnsi="Arial" w:cs="Arial"/>
              <w:sz w:val="8"/>
              <w:szCs w:val="8"/>
            </w:rPr>
          </w:pPr>
        </w:p>
      </w:tc>
      <w:tc>
        <w:tcPr>
          <w:tcW w:w="4992" w:type="dxa"/>
          <w:vMerge w:val="continue"/>
          <w:vAlign w:val="center"/>
        </w:tcPr>
        <w:p w14:paraId="3D6CA52C">
          <w:pPr>
            <w:widowControl/>
            <w:rPr>
              <w:rFonts w:ascii="Cambria" w:hAnsi="Cambria" w:cs="Arial"/>
              <w:sz w:val="28"/>
              <w:szCs w:val="28"/>
            </w:rPr>
          </w:pPr>
        </w:p>
      </w:tc>
      <w:tc>
        <w:tcPr>
          <w:tcW w:w="1308" w:type="dxa"/>
          <w:vAlign w:val="center"/>
        </w:tcPr>
        <w:p w14:paraId="3734E809">
          <w:pPr>
            <w:widowControl/>
            <w:spacing w:line="260" w:lineRule="atLeast"/>
            <w:rPr>
              <w:rFonts w:ascii="微软雅黑" w:hAnsi="微软雅黑" w:eastAsia="微软雅黑" w:cs="Arial"/>
              <w:b/>
              <w:bCs/>
              <w:sz w:val="20"/>
              <w:szCs w:val="20"/>
            </w:rPr>
          </w:pPr>
          <w:r>
            <w:rPr>
              <w:rFonts w:hint="eastAsia" w:ascii="微软雅黑" w:hAnsi="微软雅黑" w:eastAsia="微软雅黑" w:cs="Arial"/>
              <w:b/>
              <w:bCs/>
              <w:sz w:val="20"/>
              <w:szCs w:val="20"/>
            </w:rPr>
            <w:t>实施日期：</w:t>
          </w:r>
        </w:p>
      </w:tc>
      <w:tc>
        <w:tcPr>
          <w:tcW w:w="1725" w:type="dxa"/>
          <w:vAlign w:val="center"/>
        </w:tcPr>
        <w:p w14:paraId="24115571">
          <w:pPr>
            <w:widowControl/>
            <w:spacing w:line="260" w:lineRule="atLeast"/>
            <w:rPr>
              <w:rFonts w:hint="default" w:ascii="微软雅黑" w:hAnsi="微软雅黑" w:eastAsia="微软雅黑" w:cs="Times New Roman"/>
              <w:b/>
              <w:bCs/>
              <w:sz w:val="20"/>
              <w:szCs w:val="20"/>
              <w:lang w:val="en-US" w:eastAsia="zh-CN"/>
            </w:rPr>
          </w:pPr>
          <w:r>
            <w:rPr>
              <w:rFonts w:ascii="微软雅黑" w:hAnsi="微软雅黑" w:eastAsia="微软雅黑" w:cs="Times New Roman"/>
              <w:b/>
              <w:bCs/>
              <w:sz w:val="20"/>
              <w:szCs w:val="20"/>
            </w:rPr>
            <w:t>20</w:t>
          </w:r>
          <w:r>
            <w:rPr>
              <w:rFonts w:hint="eastAsia" w:ascii="微软雅黑" w:hAnsi="微软雅黑" w:eastAsia="微软雅黑" w:cs="Times New Roman"/>
              <w:b/>
              <w:bCs/>
              <w:sz w:val="20"/>
              <w:szCs w:val="20"/>
            </w:rPr>
            <w:t>20</w:t>
          </w:r>
          <w:r>
            <w:rPr>
              <w:rFonts w:ascii="微软雅黑" w:hAnsi="微软雅黑" w:eastAsia="微软雅黑" w:cs="Times New Roman"/>
              <w:b/>
              <w:bCs/>
              <w:sz w:val="20"/>
              <w:szCs w:val="20"/>
            </w:rPr>
            <w:t>.</w:t>
          </w:r>
          <w:r>
            <w:rPr>
              <w:rFonts w:hint="eastAsia" w:ascii="微软雅黑" w:hAnsi="微软雅黑" w:eastAsia="微软雅黑" w:cs="Times New Roman"/>
              <w:b/>
              <w:bCs/>
              <w:sz w:val="20"/>
              <w:szCs w:val="20"/>
              <w:lang w:val="en-US" w:eastAsia="zh-CN"/>
            </w:rPr>
            <w:t>10.10</w:t>
          </w:r>
        </w:p>
      </w:tc>
    </w:tr>
    <w:tr w14:paraId="33AA29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695" w:type="dxa"/>
          <w:vMerge w:val="continue"/>
          <w:vAlign w:val="center"/>
        </w:tcPr>
        <w:p w14:paraId="6F311FF9">
          <w:pPr>
            <w:widowControl/>
            <w:rPr>
              <w:rFonts w:ascii="Arial" w:hAnsi="Arial" w:cs="Arial"/>
              <w:sz w:val="8"/>
              <w:szCs w:val="8"/>
            </w:rPr>
          </w:pPr>
        </w:p>
      </w:tc>
      <w:tc>
        <w:tcPr>
          <w:tcW w:w="4992" w:type="dxa"/>
          <w:vMerge w:val="continue"/>
          <w:vAlign w:val="center"/>
        </w:tcPr>
        <w:p w14:paraId="29856E06">
          <w:pPr>
            <w:widowControl/>
            <w:rPr>
              <w:rFonts w:ascii="Cambria" w:hAnsi="Cambria" w:cs="Arial"/>
              <w:sz w:val="28"/>
              <w:szCs w:val="28"/>
            </w:rPr>
          </w:pPr>
        </w:p>
      </w:tc>
      <w:tc>
        <w:tcPr>
          <w:tcW w:w="1308" w:type="dxa"/>
          <w:vAlign w:val="center"/>
        </w:tcPr>
        <w:p w14:paraId="2CA12E02">
          <w:pPr>
            <w:widowControl/>
            <w:spacing w:line="260" w:lineRule="atLeast"/>
            <w:rPr>
              <w:rFonts w:ascii="微软雅黑" w:hAnsi="微软雅黑" w:eastAsia="微软雅黑" w:cs="Arial"/>
              <w:b/>
              <w:bCs/>
              <w:sz w:val="20"/>
              <w:szCs w:val="20"/>
            </w:rPr>
          </w:pPr>
          <w:r>
            <w:rPr>
              <w:rFonts w:hint="eastAsia" w:ascii="微软雅黑" w:hAnsi="微软雅黑" w:eastAsia="微软雅黑" w:cs="Arial"/>
              <w:b/>
              <w:bCs/>
              <w:sz w:val="20"/>
              <w:szCs w:val="20"/>
            </w:rPr>
            <w:t>版    次：</w:t>
          </w:r>
        </w:p>
      </w:tc>
      <w:tc>
        <w:tcPr>
          <w:tcW w:w="1725" w:type="dxa"/>
          <w:vAlign w:val="center"/>
        </w:tcPr>
        <w:p w14:paraId="71DE3F98">
          <w:pPr>
            <w:widowControl/>
            <w:spacing w:line="260" w:lineRule="atLeast"/>
            <w:rPr>
              <w:rFonts w:hint="eastAsia" w:ascii="微软雅黑" w:hAnsi="微软雅黑" w:eastAsia="微软雅黑" w:cs="Times New Roman"/>
              <w:b/>
              <w:bCs/>
              <w:sz w:val="20"/>
              <w:szCs w:val="20"/>
              <w:lang w:val="en-US" w:eastAsia="zh-CN"/>
            </w:rPr>
          </w:pPr>
          <w:r>
            <w:rPr>
              <w:rFonts w:ascii="微软雅黑" w:hAnsi="微软雅黑" w:eastAsia="微软雅黑" w:cs="Times New Roman"/>
              <w:b/>
              <w:bCs/>
              <w:sz w:val="20"/>
              <w:szCs w:val="20"/>
            </w:rPr>
            <w:t>A/</w:t>
          </w:r>
          <w:r>
            <w:rPr>
              <w:rFonts w:hint="eastAsia" w:ascii="微软雅黑" w:hAnsi="微软雅黑" w:eastAsia="微软雅黑" w:cs="Times New Roman"/>
              <w:b/>
              <w:bCs/>
              <w:sz w:val="20"/>
              <w:szCs w:val="20"/>
              <w:lang w:val="en-US" w:eastAsia="zh-CN"/>
            </w:rPr>
            <w:t>1</w:t>
          </w:r>
        </w:p>
      </w:tc>
    </w:tr>
  </w:tbl>
  <w:p w14:paraId="7DE4F870">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8AC98"/>
    <w:multiLevelType w:val="singleLevel"/>
    <w:tmpl w:val="81F8AC9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
    <w:nsid w:val="C84D5C35"/>
    <w:multiLevelType w:val="singleLevel"/>
    <w:tmpl w:val="C84D5C35"/>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nsid w:val="D8EB8A78"/>
    <w:multiLevelType w:val="singleLevel"/>
    <w:tmpl w:val="D8EB8A78"/>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nsid w:val="F1F472B7"/>
    <w:multiLevelType w:val="singleLevel"/>
    <w:tmpl w:val="F1F472B7"/>
    <w:lvl w:ilvl="0" w:tentative="0">
      <w:start w:val="6"/>
      <w:numFmt w:val="decimal"/>
      <w:suff w:val="nothing"/>
      <w:lvlText w:val="%1、"/>
      <w:lvlJc w:val="left"/>
    </w:lvl>
  </w:abstractNum>
  <w:abstractNum w:abstractNumId="4">
    <w:nsid w:val="21E4622C"/>
    <w:multiLevelType w:val="singleLevel"/>
    <w:tmpl w:val="21E4622C"/>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5">
    <w:nsid w:val="35C0F1FF"/>
    <w:multiLevelType w:val="singleLevel"/>
    <w:tmpl w:val="35C0F1FF"/>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6">
    <w:nsid w:val="38542B58"/>
    <w:multiLevelType w:val="multilevel"/>
    <w:tmpl w:val="38542B58"/>
    <w:lvl w:ilvl="0" w:tentative="0">
      <w:start w:val="1"/>
      <w:numFmt w:val="lowerLetter"/>
      <w:lvlText w:val="%1."/>
      <w:lvlJc w:val="left"/>
      <w:pPr>
        <w:ind w:left="420" w:hanging="420"/>
      </w:pPr>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E3C07D8"/>
    <w:multiLevelType w:val="multilevel"/>
    <w:tmpl w:val="4E3C07D8"/>
    <w:lvl w:ilvl="0" w:tentative="0">
      <w:start w:val="5"/>
      <w:numFmt w:val="decimal"/>
      <w:lvlText w:val="%1"/>
      <w:lvlJc w:val="left"/>
      <w:pPr>
        <w:ind w:left="525" w:hanging="525"/>
      </w:pPr>
      <w:rPr>
        <w:rFonts w:hint="default"/>
      </w:rPr>
    </w:lvl>
    <w:lvl w:ilvl="1" w:tentative="0">
      <w:start w:val="5"/>
      <w:numFmt w:val="decimal"/>
      <w:lvlText w:val="%1.%2"/>
      <w:lvlJc w:val="left"/>
      <w:pPr>
        <w:ind w:left="525" w:hanging="525"/>
      </w:pPr>
      <w:rPr>
        <w:rFonts w:hint="default"/>
      </w:rPr>
    </w:lvl>
    <w:lvl w:ilvl="2" w:tentative="0">
      <w:start w:val="3"/>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8">
    <w:nsid w:val="5E95382B"/>
    <w:multiLevelType w:val="multilevel"/>
    <w:tmpl w:val="5E95382B"/>
    <w:lvl w:ilvl="0" w:tentative="0">
      <w:start w:val="5"/>
      <w:numFmt w:val="decimal"/>
      <w:lvlText w:val="%1"/>
      <w:lvlJc w:val="left"/>
      <w:pPr>
        <w:ind w:left="420" w:hanging="420"/>
      </w:pPr>
      <w:rPr>
        <w:rFonts w:hint="default"/>
      </w:rPr>
    </w:lvl>
    <w:lvl w:ilvl="1" w:tentative="0">
      <w:start w:val="5"/>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6C149394"/>
    <w:multiLevelType w:val="singleLevel"/>
    <w:tmpl w:val="6C149394"/>
    <w:lvl w:ilvl="0" w:tentative="0">
      <w:start w:val="1"/>
      <w:numFmt w:val="lowerLetter"/>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5"/>
  </w:num>
  <w:num w:numId="2">
    <w:abstractNumId w:val="4"/>
  </w:num>
  <w:num w:numId="3">
    <w:abstractNumId w:val="8"/>
  </w:num>
  <w:num w:numId="4">
    <w:abstractNumId w:val="7"/>
  </w:num>
  <w:num w:numId="5">
    <w:abstractNumId w:val="9"/>
  </w:num>
  <w:num w:numId="6">
    <w:abstractNumId w:val="0"/>
  </w:num>
  <w:num w:numId="7">
    <w:abstractNumId w:val="1"/>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NjZDMzZjNkM2ZiYjU0YjA0YThkMGUwNzhiMWUyMWIifQ=="/>
  </w:docVars>
  <w:rsids>
    <w:rsidRoot w:val="00172A27"/>
    <w:rsid w:val="00077AA0"/>
    <w:rsid w:val="00097303"/>
    <w:rsid w:val="000D0BB3"/>
    <w:rsid w:val="00172A27"/>
    <w:rsid w:val="001E19BB"/>
    <w:rsid w:val="002145CA"/>
    <w:rsid w:val="00284DE0"/>
    <w:rsid w:val="002B21C1"/>
    <w:rsid w:val="003A611C"/>
    <w:rsid w:val="005C4917"/>
    <w:rsid w:val="0061784F"/>
    <w:rsid w:val="00662E3C"/>
    <w:rsid w:val="006C37E1"/>
    <w:rsid w:val="007572BE"/>
    <w:rsid w:val="00802CF5"/>
    <w:rsid w:val="009E3C02"/>
    <w:rsid w:val="00B1300D"/>
    <w:rsid w:val="00B474AA"/>
    <w:rsid w:val="00BE28E7"/>
    <w:rsid w:val="00DB64BD"/>
    <w:rsid w:val="00F81FE0"/>
    <w:rsid w:val="00F92C71"/>
    <w:rsid w:val="011E371A"/>
    <w:rsid w:val="03065E93"/>
    <w:rsid w:val="067B09CA"/>
    <w:rsid w:val="0A2471A3"/>
    <w:rsid w:val="10C355EC"/>
    <w:rsid w:val="12DB1CE2"/>
    <w:rsid w:val="14A250E8"/>
    <w:rsid w:val="14BC568B"/>
    <w:rsid w:val="164C7A95"/>
    <w:rsid w:val="17063AA4"/>
    <w:rsid w:val="178A4884"/>
    <w:rsid w:val="17A2190D"/>
    <w:rsid w:val="17BA4187"/>
    <w:rsid w:val="180C67BE"/>
    <w:rsid w:val="1A1C6DB9"/>
    <w:rsid w:val="1A286747"/>
    <w:rsid w:val="1CFA5FCD"/>
    <w:rsid w:val="1E5A4B7F"/>
    <w:rsid w:val="1F1D28A6"/>
    <w:rsid w:val="207505A1"/>
    <w:rsid w:val="213850A1"/>
    <w:rsid w:val="23A54E8C"/>
    <w:rsid w:val="2648750F"/>
    <w:rsid w:val="26737AFF"/>
    <w:rsid w:val="278D2B53"/>
    <w:rsid w:val="2F835E44"/>
    <w:rsid w:val="30716E96"/>
    <w:rsid w:val="31417A32"/>
    <w:rsid w:val="32AD7A1A"/>
    <w:rsid w:val="32DD0550"/>
    <w:rsid w:val="348B3404"/>
    <w:rsid w:val="365062BC"/>
    <w:rsid w:val="36AC58ED"/>
    <w:rsid w:val="377D327B"/>
    <w:rsid w:val="3B165D64"/>
    <w:rsid w:val="3BDE5890"/>
    <w:rsid w:val="3BE1573E"/>
    <w:rsid w:val="3DBF45FC"/>
    <w:rsid w:val="3EAF185D"/>
    <w:rsid w:val="3EB12849"/>
    <w:rsid w:val="3F8F68F3"/>
    <w:rsid w:val="3FD834C3"/>
    <w:rsid w:val="41A1127F"/>
    <w:rsid w:val="433025DD"/>
    <w:rsid w:val="454E7D56"/>
    <w:rsid w:val="48751CB9"/>
    <w:rsid w:val="4A752A93"/>
    <w:rsid w:val="4A9D032A"/>
    <w:rsid w:val="4B1C21B2"/>
    <w:rsid w:val="4EB021E2"/>
    <w:rsid w:val="52174C1F"/>
    <w:rsid w:val="541E6A22"/>
    <w:rsid w:val="54AD3281"/>
    <w:rsid w:val="54CC1836"/>
    <w:rsid w:val="560B4101"/>
    <w:rsid w:val="578B2D2B"/>
    <w:rsid w:val="5B17238E"/>
    <w:rsid w:val="5B4B0A79"/>
    <w:rsid w:val="5BA83C67"/>
    <w:rsid w:val="5D2B0EE2"/>
    <w:rsid w:val="5DEC362A"/>
    <w:rsid w:val="5EDD7710"/>
    <w:rsid w:val="62CD7F6A"/>
    <w:rsid w:val="63C64863"/>
    <w:rsid w:val="67985ABA"/>
    <w:rsid w:val="67A23E27"/>
    <w:rsid w:val="67A45FC1"/>
    <w:rsid w:val="67C64042"/>
    <w:rsid w:val="6A7E7B35"/>
    <w:rsid w:val="6AE319C7"/>
    <w:rsid w:val="6C026CC5"/>
    <w:rsid w:val="6D064C68"/>
    <w:rsid w:val="6D7A3AEA"/>
    <w:rsid w:val="739F626C"/>
    <w:rsid w:val="76B55C9E"/>
    <w:rsid w:val="7730739A"/>
    <w:rsid w:val="7BA80D7D"/>
    <w:rsid w:val="7EC22343"/>
    <w:rsid w:val="7FAD6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Microsoft JhengHei Light" w:hAnsi="Microsoft JhengHei Light" w:eastAsia="Microsoft JhengHei Light" w:cs="Microsoft JhengHei Light"/>
      <w:color w:val="000000"/>
      <w:sz w:val="24"/>
      <w:szCs w:val="24"/>
      <w:lang w:val="en-US" w:eastAsia="en-US" w:bidi="en-US"/>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4"/>
    <w:qFormat/>
    <w:uiPriority w:val="0"/>
  </w:style>
  <w:style w:type="paragraph" w:styleId="3">
    <w:name w:val="Date"/>
    <w:basedOn w:val="1"/>
    <w:next w:val="1"/>
    <w:link w:val="26"/>
    <w:qFormat/>
    <w:uiPriority w:val="0"/>
    <w:pPr>
      <w:ind w:left="100" w:leftChars="2500"/>
    </w:pPr>
  </w:style>
  <w:style w:type="paragraph" w:styleId="4">
    <w:name w:val="Balloon Text"/>
    <w:basedOn w:val="1"/>
    <w:link w:val="23"/>
    <w:qFormat/>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annotation subject"/>
    <w:basedOn w:val="2"/>
    <w:next w:val="2"/>
    <w:link w:val="25"/>
    <w:qFormat/>
    <w:uiPriority w:val="0"/>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annotation reference"/>
    <w:basedOn w:val="10"/>
    <w:qFormat/>
    <w:uiPriority w:val="0"/>
    <w:rPr>
      <w:sz w:val="21"/>
      <w:szCs w:val="21"/>
    </w:rPr>
  </w:style>
  <w:style w:type="paragraph" w:styleId="12">
    <w:name w:val="List Paragraph"/>
    <w:basedOn w:val="1"/>
    <w:qFormat/>
    <w:uiPriority w:val="34"/>
    <w:pPr>
      <w:ind w:left="800" w:leftChars="400"/>
    </w:pPr>
  </w:style>
  <w:style w:type="paragraph" w:customStyle="1" w:styleId="13">
    <w:name w:val="标题 #1"/>
    <w:basedOn w:val="1"/>
    <w:qFormat/>
    <w:uiPriority w:val="0"/>
    <w:pPr>
      <w:shd w:val="clear" w:color="auto" w:fill="FFFFFF"/>
      <w:spacing w:after="130" w:line="365" w:lineRule="exact"/>
      <w:outlineLvl w:val="0"/>
    </w:pPr>
    <w:rPr>
      <w:rFonts w:ascii="黑体" w:hAnsi="黑体" w:eastAsia="黑体" w:cs="黑体"/>
      <w:b/>
      <w:bCs/>
      <w:sz w:val="20"/>
      <w:szCs w:val="20"/>
      <w:lang w:val="zh-CN" w:eastAsia="zh-CN" w:bidi="zh-CN"/>
    </w:rPr>
  </w:style>
  <w:style w:type="paragraph" w:customStyle="1" w:styleId="14">
    <w:name w:val="正文文本1"/>
    <w:basedOn w:val="1"/>
    <w:qFormat/>
    <w:uiPriority w:val="0"/>
    <w:pPr>
      <w:shd w:val="clear" w:color="auto" w:fill="FFFFFF"/>
      <w:spacing w:line="360" w:lineRule="auto"/>
    </w:pPr>
    <w:rPr>
      <w:rFonts w:ascii="黑体" w:hAnsi="黑体" w:eastAsia="黑体" w:cs="黑体"/>
      <w:color w:val="171717"/>
      <w:sz w:val="20"/>
      <w:szCs w:val="20"/>
      <w:lang w:val="zh-CN" w:eastAsia="zh-CN" w:bidi="zh-CN"/>
    </w:rPr>
  </w:style>
  <w:style w:type="paragraph" w:customStyle="1" w:styleId="15">
    <w:name w:val="正文文本 (2)"/>
    <w:basedOn w:val="1"/>
    <w:qFormat/>
    <w:uiPriority w:val="0"/>
    <w:pPr>
      <w:shd w:val="clear" w:color="auto" w:fill="FFFFFF"/>
      <w:spacing w:after="100"/>
      <w:ind w:firstLine="460"/>
    </w:pPr>
    <w:rPr>
      <w:rFonts w:ascii="Times New Roman" w:hAnsi="Times New Roman" w:eastAsia="Times New Roman" w:cs="Times New Roman"/>
      <w:sz w:val="20"/>
      <w:szCs w:val="20"/>
    </w:rPr>
  </w:style>
  <w:style w:type="paragraph" w:customStyle="1" w:styleId="16">
    <w:name w:val="正文文本 (3)"/>
    <w:basedOn w:val="1"/>
    <w:qFormat/>
    <w:uiPriority w:val="0"/>
    <w:pPr>
      <w:shd w:val="clear" w:color="auto" w:fill="FFFFFF"/>
      <w:spacing w:after="50"/>
      <w:jc w:val="center"/>
    </w:pPr>
    <w:rPr>
      <w:rFonts w:ascii="黑体" w:hAnsi="黑体" w:eastAsia="黑体" w:cs="黑体"/>
      <w:sz w:val="17"/>
      <w:szCs w:val="17"/>
      <w:lang w:val="zh-CN" w:eastAsia="zh-CN" w:bidi="zh-CN"/>
    </w:rPr>
  </w:style>
  <w:style w:type="paragraph" w:customStyle="1" w:styleId="17">
    <w:name w:val="其他"/>
    <w:basedOn w:val="1"/>
    <w:qFormat/>
    <w:uiPriority w:val="0"/>
    <w:pPr>
      <w:shd w:val="clear" w:color="auto" w:fill="FFFFFF"/>
      <w:spacing w:line="360" w:lineRule="auto"/>
    </w:pPr>
    <w:rPr>
      <w:rFonts w:ascii="黑体" w:hAnsi="黑体" w:eastAsia="黑体" w:cs="黑体"/>
      <w:color w:val="171717"/>
      <w:sz w:val="20"/>
      <w:szCs w:val="20"/>
      <w:lang w:val="zh-CN" w:eastAsia="zh-CN" w:bidi="zh-CN"/>
    </w:rPr>
  </w:style>
  <w:style w:type="paragraph" w:customStyle="1" w:styleId="18">
    <w:name w:val="表格标题"/>
    <w:basedOn w:val="1"/>
    <w:qFormat/>
    <w:uiPriority w:val="0"/>
    <w:pPr>
      <w:shd w:val="clear" w:color="auto" w:fill="FFFFFF"/>
    </w:pPr>
    <w:rPr>
      <w:rFonts w:ascii="黑体" w:hAnsi="黑体" w:eastAsia="黑体" w:cs="黑体"/>
      <w:sz w:val="20"/>
      <w:szCs w:val="20"/>
      <w:lang w:val="zh-CN" w:eastAsia="zh-CN" w:bidi="zh-CN"/>
    </w:rPr>
  </w:style>
  <w:style w:type="paragraph" w:customStyle="1" w:styleId="19">
    <w:name w:val="页眉或页脚 (2)"/>
    <w:basedOn w:val="1"/>
    <w:qFormat/>
    <w:uiPriority w:val="0"/>
    <w:pPr>
      <w:shd w:val="clear" w:color="auto" w:fill="FFFFFF"/>
    </w:pPr>
    <w:rPr>
      <w:rFonts w:ascii="Times New Roman" w:hAnsi="Times New Roman" w:eastAsia="Times New Roman" w:cs="Times New Roman"/>
      <w:sz w:val="20"/>
      <w:szCs w:val="20"/>
      <w:lang w:val="zh-CN" w:eastAsia="zh-CN" w:bidi="zh-CN"/>
    </w:rPr>
  </w:style>
  <w:style w:type="paragraph" w:customStyle="1" w:styleId="20">
    <w:name w:val="正文文本 (5)"/>
    <w:basedOn w:val="1"/>
    <w:qFormat/>
    <w:uiPriority w:val="0"/>
    <w:pPr>
      <w:shd w:val="clear" w:color="auto" w:fill="FFFFFF"/>
      <w:spacing w:after="160" w:line="343" w:lineRule="exact"/>
    </w:pPr>
    <w:rPr>
      <w:rFonts w:ascii="Times New Roman" w:hAnsi="Times New Roman" w:eastAsia="Times New Roman" w:cs="Times New Roman"/>
      <w:sz w:val="20"/>
      <w:szCs w:val="20"/>
      <w:lang w:val="zh-CN" w:eastAsia="zh-CN" w:bidi="zh-CN"/>
    </w:rPr>
  </w:style>
  <w:style w:type="paragraph" w:customStyle="1" w:styleId="21">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2">
    <w:name w:val="CM7"/>
    <w:basedOn w:val="21"/>
    <w:next w:val="21"/>
    <w:qFormat/>
    <w:uiPriority w:val="0"/>
    <w:rPr>
      <w:rFonts w:cs="宋体"/>
    </w:rPr>
  </w:style>
  <w:style w:type="character" w:customStyle="1" w:styleId="23">
    <w:name w:val="批注框文本 Char"/>
    <w:basedOn w:val="10"/>
    <w:link w:val="4"/>
    <w:qFormat/>
    <w:uiPriority w:val="0"/>
    <w:rPr>
      <w:color w:val="000000"/>
      <w:sz w:val="18"/>
      <w:szCs w:val="18"/>
      <w:lang w:eastAsia="en-US" w:bidi="en-US"/>
    </w:rPr>
  </w:style>
  <w:style w:type="character" w:customStyle="1" w:styleId="24">
    <w:name w:val="批注文字 Char"/>
    <w:basedOn w:val="10"/>
    <w:link w:val="2"/>
    <w:qFormat/>
    <w:uiPriority w:val="0"/>
    <w:rPr>
      <w:color w:val="000000"/>
      <w:sz w:val="24"/>
      <w:szCs w:val="24"/>
      <w:lang w:eastAsia="en-US" w:bidi="en-US"/>
    </w:rPr>
  </w:style>
  <w:style w:type="character" w:customStyle="1" w:styleId="25">
    <w:name w:val="批注主题 Char"/>
    <w:basedOn w:val="24"/>
    <w:link w:val="7"/>
    <w:qFormat/>
    <w:uiPriority w:val="0"/>
    <w:rPr>
      <w:b/>
      <w:bCs/>
    </w:rPr>
  </w:style>
  <w:style w:type="character" w:customStyle="1" w:styleId="26">
    <w:name w:val="日期 Char"/>
    <w:basedOn w:val="10"/>
    <w:link w:val="3"/>
    <w:qFormat/>
    <w:uiPriority w:val="0"/>
    <w:rPr>
      <w:color w:val="000000"/>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63</Words>
  <Characters>117</Characters>
  <Lines>31</Lines>
  <Paragraphs>8</Paragraphs>
  <TotalTime>9</TotalTime>
  <ScaleCrop>false</ScaleCrop>
  <LinksUpToDate>false</LinksUpToDate>
  <CharactersWithSpaces>132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2019-08-09T04:16:00Z</dcterms:created>
  <dc:creator>QBBY</dc:creator>
  <cp:lastModifiedBy>WPS_1656987589</cp:lastModifiedBy>
  <cp:lastPrinted>2021-05-21T08:29:00Z</cp:lastPrinted>
  <dcterms:modified xsi:type="dcterms:W3CDTF">2025-09-19T08:47:56Z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28765B81783A44FC98A68EB220C8A6F4</vt:lpwstr>
  </property>
  <property fmtid="{D5CDD505-2E9C-101B-9397-08002B2CF9AE}" pid="4" name="KSOTemplateDocerSaveRecord">
    <vt:lpwstr>eyJoZGlkIjoiZWY2OGI5NDkxNGE1NWE0YTY3MjI1MjAxYjhmOTZlNWYiLCJ1c2VySWQiOiIxMzg1NjEzOTYxIn0=</vt:lpwstr>
  </property>
</Properties>
</file>